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1236" w:rsidRDefault="00000000">
      <w:pPr>
        <w:pStyle w:val="Heading1"/>
        <w:jc w:val="center"/>
      </w:pPr>
      <w:r>
        <w:t>CHAPTER ONE</w:t>
      </w:r>
    </w:p>
    <w:p w:rsidR="00E91236" w:rsidRDefault="00000000">
      <w:pPr>
        <w:pStyle w:val="Heading1"/>
        <w:jc w:val="center"/>
      </w:pPr>
      <w:r>
        <w:t>INTRODUCTION</w:t>
      </w:r>
    </w:p>
    <w:p w:rsidR="00E91236" w:rsidRDefault="00000000">
      <w:pPr>
        <w:pStyle w:val="Heading3"/>
        <w:rPr>
          <w:rFonts w:cs="Times New Roman"/>
        </w:rPr>
      </w:pPr>
      <w:r>
        <w:rPr>
          <w:rFonts w:cs="Times New Roman"/>
        </w:rPr>
        <w:t xml:space="preserve">1.1. BACKGROUND OF THE STUDY </w:t>
      </w:r>
    </w:p>
    <w:p w:rsidR="00E91236" w:rsidRDefault="00000000" w:rsidP="00DE2FCE">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Health is both a basic human need and a basic human right (Muyskens K, 2022). It is the obligation of the government and health-care professionals to offer equal health care to all people (Baer et al., 2016) and to ensure that all of the population's health demands are met (Baer B et al., 2016). The current healthcare state of most of the world's poor countries is deplorable (</w:t>
      </w:r>
      <w:proofErr w:type="spellStart"/>
      <w:r>
        <w:rPr>
          <w:rFonts w:ascii="Times New Roman" w:hAnsi="Times New Roman" w:cs="Times New Roman"/>
          <w:color w:val="auto"/>
        </w:rPr>
        <w:t>Zhongming</w:t>
      </w:r>
      <w:proofErr w:type="spellEnd"/>
      <w:r>
        <w:rPr>
          <w:rFonts w:ascii="Times New Roman" w:hAnsi="Times New Roman" w:cs="Times New Roman"/>
          <w:color w:val="auto"/>
        </w:rPr>
        <w:t xml:space="preserve"> et al., 2018). In underdeveloped countries, a huge portion of the population lacks access to basic health care. Lower-middle income countries (LMICs) account for only 12 percent of global spending on health, even though they account for 90% of the global disease burden (Peters et al., 2008). Developing countries have poor access to primary healthcare, mainly due to lack of qualified workforce, adequate financing, and quality assurance to ensure patient safety (Muzammil &amp; Lopes, 2021).</w:t>
      </w:r>
    </w:p>
    <w:p w:rsidR="00E91236" w:rsidRDefault="00000000">
      <w:pPr>
        <w:pStyle w:val="Default"/>
        <w:spacing w:line="360" w:lineRule="auto"/>
        <w:jc w:val="both"/>
        <w:rPr>
          <w:rFonts w:ascii="Times New Roman" w:hAnsi="Times New Roman" w:cs="Times New Roman"/>
          <w:color w:val="auto"/>
        </w:rPr>
      </w:pPr>
      <w:r>
        <w:rPr>
          <w:rFonts w:ascii="Times New Roman" w:hAnsi="Times New Roman" w:cs="Times New Roman"/>
          <w:color w:val="auto"/>
        </w:rPr>
        <w:tab/>
        <w:t xml:space="preserve">An emerging feature of modern medicine is patient centered care (PCC). PCC is defined as a healthcare partnership between patients, their families, and their practitioners—this partnership ensures that patients have autonomy, education, and support over decisions of care that meet their needs and preferences (Otero et al., 2015). PCC leads to better satisfaction, improved quality of care and health outcomes, and reduction in healthcare costs and disparity (Rosenthal, 2008). Patient centeredness is now a priority for healthcare organizations; empowered patients play a key role in enhancing healthcare quality, a measure of which is patient satisfaction (Tartaglione et al., 2018).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In underdeveloped healthcare systems, the needs and perceptions of consumers i.e., patients are not adequately met by the services provided by health care professionals (Sixma et al., 2020). Several factors, including literacy and political turmoil contribute to this (Otero et al., 2015). In recent years, the World Bank as well as other funding agencies have advised developing nations to ensure that population health should be maintained at a reasonable cost, and that health care services respond directly to patients' preferences and expectations (Lateef et al., 2011; Mundy &amp; Verger, 2015). This means that integrating PCC in current healthcare systems in developing </w:t>
      </w:r>
      <w:r>
        <w:rPr>
          <w:rFonts w:ascii="Times New Roman" w:hAnsi="Times New Roman" w:cs="Times New Roman"/>
          <w:color w:val="auto"/>
        </w:rPr>
        <w:lastRenderedPageBreak/>
        <w:t>countries can help to address disparities and inequitable costs of healthcare and can optimize resource use while promoting patient empowerment and patient satisfaction (Otero et al., 2015).</w:t>
      </w:r>
    </w:p>
    <w:p w:rsidR="00E91236" w:rsidRDefault="00000000">
      <w:pPr>
        <w:pStyle w:val="Heading4"/>
        <w:rPr>
          <w:rFonts w:cs="Times New Roman"/>
          <w:b/>
        </w:rPr>
      </w:pPr>
      <w:r>
        <w:rPr>
          <w:rFonts w:cs="Times New Roman"/>
          <w:b/>
          <w:i w:val="0"/>
        </w:rPr>
        <w:t>PATIENT SATISFACTION:</w:t>
      </w:r>
      <w:r>
        <w:rPr>
          <w:rFonts w:cs="Times New Roman"/>
          <w:b/>
        </w:rPr>
        <w:t xml:space="preserve"> </w:t>
      </w:r>
    </w:p>
    <w:p w:rsidR="00E91236" w:rsidRDefault="00DD0F1C">
      <w:pPr>
        <w:pStyle w:val="Default"/>
        <w:spacing w:line="360" w:lineRule="auto"/>
        <w:ind w:firstLine="720"/>
        <w:jc w:val="both"/>
        <w:rPr>
          <w:rFonts w:ascii="Times New Roman" w:hAnsi="Times New Roman" w:cs="Times New Roman"/>
          <w:color w:val="auto"/>
        </w:rPr>
      </w:pPr>
      <w:r w:rsidRPr="00DD0F1C">
        <w:rPr>
          <w:rFonts w:ascii="Times New Roman" w:hAnsi="Times New Roman" w:cs="Times New Roman"/>
          <w:color w:val="auto"/>
        </w:rPr>
        <w:t xml:space="preserve">Globally, there is a growing need for high-quality healthcare (Huang et al., 2014). Public health can be directly impacted by the assessment and enhancement of hospital services as a service system (Rasouli &amp; Zarei, 2015). </w:t>
      </w:r>
      <w:r>
        <w:rPr>
          <w:rFonts w:ascii="Times New Roman" w:hAnsi="Times New Roman" w:cs="Times New Roman"/>
          <w:color w:val="auto"/>
        </w:rPr>
        <w:t>Monitoring and managing patient perceptions to reduce dissatisfaction with the service system is critical for both stability and profitability (</w:t>
      </w:r>
      <w:proofErr w:type="spellStart"/>
      <w:r>
        <w:rPr>
          <w:rFonts w:ascii="Times New Roman" w:hAnsi="Times New Roman" w:cs="Times New Roman"/>
          <w:color w:val="auto"/>
        </w:rPr>
        <w:t>Altuntas</w:t>
      </w:r>
      <w:proofErr w:type="spellEnd"/>
      <w:r>
        <w:rPr>
          <w:rFonts w:ascii="Times New Roman" w:hAnsi="Times New Roman" w:cs="Times New Roman"/>
          <w:color w:val="auto"/>
        </w:rPr>
        <w:t xml:space="preserve"> et al., 2018).   </w:t>
      </w:r>
    </w:p>
    <w:p w:rsidR="00274D7B" w:rsidRDefault="00274D7B">
      <w:pPr>
        <w:pStyle w:val="Default"/>
        <w:spacing w:line="360" w:lineRule="auto"/>
        <w:ind w:firstLine="720"/>
        <w:jc w:val="both"/>
        <w:rPr>
          <w:rFonts w:ascii="Times New Roman" w:hAnsi="Times New Roman" w:cs="Times New Roman"/>
          <w:color w:val="auto"/>
        </w:rPr>
      </w:pPr>
      <w:r w:rsidRPr="00274D7B">
        <w:rPr>
          <w:rFonts w:ascii="Times New Roman" w:hAnsi="Times New Roman" w:cs="Times New Roman"/>
          <w:color w:val="auto"/>
        </w:rPr>
        <w:t xml:space="preserve">Patient satisfaction is a key indicator of high-quality care (Serhan et al., 2022; Wilczynski et al., 2022). Patient satisfaction is defined as the patient's subjective assessment of the quality of healthcare services in comparison to their expectations of quality standards (Mahdavi-Roshan et al., 2022; </w:t>
      </w:r>
      <w:proofErr w:type="spellStart"/>
      <w:r w:rsidRPr="00274D7B">
        <w:rPr>
          <w:rFonts w:ascii="Times New Roman" w:hAnsi="Times New Roman" w:cs="Times New Roman"/>
          <w:color w:val="auto"/>
        </w:rPr>
        <w:t>Nadapdap</w:t>
      </w:r>
      <w:proofErr w:type="spellEnd"/>
      <w:r w:rsidRPr="00274D7B">
        <w:rPr>
          <w:rFonts w:ascii="Times New Roman" w:hAnsi="Times New Roman" w:cs="Times New Roman"/>
          <w:color w:val="auto"/>
        </w:rPr>
        <w:t xml:space="preserve"> et al., 2021). Patient perception is a key indicator of healthcare quality assessment and can lead to improvements in care quality, particularly in the market-driven healthcare sector today (Marley et al., 2004).</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Currently, patient satisfaction is not </w:t>
      </w:r>
      <w:r w:rsidR="00DD0F1C">
        <w:rPr>
          <w:rFonts w:ascii="Times New Roman" w:hAnsi="Times New Roman" w:cs="Times New Roman"/>
          <w:color w:val="auto"/>
        </w:rPr>
        <w:t>just</w:t>
      </w:r>
      <w:r>
        <w:rPr>
          <w:rFonts w:ascii="Times New Roman" w:hAnsi="Times New Roman" w:cs="Times New Roman"/>
          <w:color w:val="auto"/>
        </w:rPr>
        <w:t xml:space="preserve"> important for </w:t>
      </w:r>
      <w:r w:rsidR="00DD0F1C" w:rsidRPr="00DD0F1C">
        <w:rPr>
          <w:rFonts w:ascii="Times New Roman" w:hAnsi="Times New Roman" w:cs="Times New Roman"/>
          <w:color w:val="auto"/>
        </w:rPr>
        <w:t>both for the financial performance of healthcare providers and for the well-being of patients</w:t>
      </w:r>
      <w:r>
        <w:rPr>
          <w:rFonts w:ascii="Times New Roman" w:hAnsi="Times New Roman" w:cs="Times New Roman"/>
          <w:color w:val="auto"/>
        </w:rPr>
        <w:t xml:space="preserve"> (Ferrand et al., 2016). Multiple factors can affect patient satisfaction: these include socio-demographic variables, care quality, access and cost of care, and physician role and behaviors, among others (Naidu, 2007). Dissatisfaction with healthcare services usually occurs when the quality of care received is lower than expected (Tende et al., 2022). This dissatisfaction can influence patient behaviors and impact the overall quality of healthcare systems.</w:t>
      </w:r>
      <w:r w:rsidR="00274D7B">
        <w:rPr>
          <w:rFonts w:ascii="Times New Roman" w:hAnsi="Times New Roman" w:cs="Times New Roman"/>
          <w:color w:val="auto"/>
        </w:rPr>
        <w:t xml:space="preserve"> </w:t>
      </w:r>
      <w:r>
        <w:rPr>
          <w:rFonts w:ascii="Times New Roman" w:hAnsi="Times New Roman" w:cs="Times New Roman"/>
          <w:color w:val="auto"/>
        </w:rPr>
        <w:t xml:space="preserve">These domains imply certain expectations patients have regarding their hospital experience, such as a safe environment where they are treated promptly with respect and dignity, and have control over their environment, as well as effective communication with their healthcare providers (Lee et al., 2010).  </w:t>
      </w:r>
    </w:p>
    <w:p w:rsidR="00E91236" w:rsidRDefault="00000000">
      <w:pPr>
        <w:pStyle w:val="Heading4"/>
        <w:rPr>
          <w:rFonts w:cs="Times New Roman"/>
          <w:b/>
          <w:i w:val="0"/>
        </w:rPr>
      </w:pPr>
      <w:r>
        <w:rPr>
          <w:rFonts w:cs="Times New Roman"/>
          <w:b/>
          <w:i w:val="0"/>
        </w:rPr>
        <w:t xml:space="preserve">PATIENT SATISFACTION SURVEYS: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Generally, patient satisfaction is measured through surveys and other data collection instruments. Healthcare providers can benefit from patient satisfaction survey data since it offers important insights into medical care services and the providers of those services (</w:t>
      </w:r>
      <w:proofErr w:type="spellStart"/>
      <w:r>
        <w:rPr>
          <w:rFonts w:ascii="Times New Roman" w:hAnsi="Times New Roman" w:cs="Times New Roman"/>
          <w:color w:val="auto"/>
        </w:rPr>
        <w:t>Dunsch</w:t>
      </w:r>
      <w:proofErr w:type="spellEnd"/>
      <w:r>
        <w:rPr>
          <w:rFonts w:ascii="Times New Roman" w:hAnsi="Times New Roman" w:cs="Times New Roman"/>
          <w:color w:val="auto"/>
        </w:rPr>
        <w:t xml:space="preserve"> et al., 2018; Manzoor et al., 2019). According to Sixma (2020), patients' subjective evaluations of medical care services have several significant applications. These surveys allow the patient to </w:t>
      </w:r>
      <w:r>
        <w:rPr>
          <w:rFonts w:ascii="Times New Roman" w:hAnsi="Times New Roman" w:cs="Times New Roman"/>
          <w:color w:val="auto"/>
        </w:rPr>
        <w:lastRenderedPageBreak/>
        <w:t>judge quality of service with respect to relational, environmental, and organizational dimensions, as evidenced by a study in France (Boyer et al., 2006).</w:t>
      </w:r>
    </w:p>
    <w:p w:rsidR="00E91236" w:rsidRDefault="00000000">
      <w:pPr>
        <w:rPr>
          <w:rFonts w:cs="Times New Roman"/>
        </w:rPr>
      </w:pPr>
      <w:r>
        <w:rPr>
          <w:rFonts w:cs="Times New Roman"/>
        </w:rPr>
        <w:tab/>
        <w:t xml:space="preserve">Surveys aim to explore the three main dimensions of patient satisfaction: </w:t>
      </w:r>
      <w:r w:rsidR="00CC29F0" w:rsidRPr="00CC29F0">
        <w:rPr>
          <w:rFonts w:cs="Times New Roman"/>
        </w:rPr>
        <w:t>provision of necessary medical care, therapies that patients and their families seek, and the actions and conduct of providers</w:t>
      </w:r>
      <w:r>
        <w:rPr>
          <w:rFonts w:cs="Times New Roman"/>
        </w:rPr>
        <w:t xml:space="preserve"> (</w:t>
      </w:r>
      <w:proofErr w:type="spellStart"/>
      <w:r>
        <w:rPr>
          <w:rFonts w:cs="Times New Roman"/>
        </w:rPr>
        <w:t>Junewicz</w:t>
      </w:r>
      <w:proofErr w:type="spellEnd"/>
      <w:r>
        <w:rPr>
          <w:rFonts w:cs="Times New Roman"/>
        </w:rPr>
        <w:t xml:space="preserve"> &amp; </w:t>
      </w:r>
      <w:proofErr w:type="spellStart"/>
      <w:r>
        <w:rPr>
          <w:rFonts w:cs="Times New Roman"/>
        </w:rPr>
        <w:t>Youngner</w:t>
      </w:r>
      <w:proofErr w:type="spellEnd"/>
      <w:r>
        <w:rPr>
          <w:rFonts w:cs="Times New Roman"/>
        </w:rPr>
        <w:t xml:space="preserve">, 2015). These surveys try to translate subjective patient perceptions into meaningful, quantifiable data, which can influence actions and decisions (Catalyst, 2018). </w:t>
      </w:r>
      <w:r w:rsidR="00B00812" w:rsidRPr="00B00812">
        <w:rPr>
          <w:rFonts w:cs="Times New Roman"/>
        </w:rPr>
        <w:t>Point care questionnaires are the fundamental tool for monitoring the experience of patients</w:t>
      </w:r>
      <w:r>
        <w:rPr>
          <w:rFonts w:cs="Times New Roman"/>
        </w:rPr>
        <w:t xml:space="preserve"> and can capture standardized data which represents both patient perceptions as well as the factors affecting them in a quantifiable manner (Coulter et al., 2009). </w:t>
      </w:r>
    </w:p>
    <w:p w:rsidR="00E91236" w:rsidRDefault="00000000">
      <w:pPr>
        <w:rPr>
          <w:rFonts w:cs="Times New Roman"/>
        </w:rPr>
      </w:pPr>
      <w:r>
        <w:rPr>
          <w:rFonts w:cs="Times New Roman"/>
        </w:rPr>
        <w:tab/>
        <w:t xml:space="preserve">A number of published questionnaires and survey instruments exist in literature (Al-Abri &amp; Al-Balushi, 2014). The spectrum of these instruments includes </w:t>
      </w:r>
      <w:proofErr w:type="spellStart"/>
      <w:r>
        <w:rPr>
          <w:rFonts w:cs="Times New Roman"/>
        </w:rPr>
        <w:t>publically</w:t>
      </w:r>
      <w:proofErr w:type="spellEnd"/>
      <w:r>
        <w:rPr>
          <w:rFonts w:cs="Times New Roman"/>
        </w:rPr>
        <w:t xml:space="preserve"> standardized instruments, which have good validity and reliability but are limited in their scope. Internally developed instruments, as well as instruments provided by private vendors are also frequently utilized in healthcare practice; they have a wider scope, but their reliability and validity may not be clear (Dawn &amp; Lee, 2003). Selecting the appropriate patient satisfaction instrument is quite challenging, as many standardized and validated instruments cover only specific aspects of care and have limited use in other care settings (Yellen et al., 2002).</w:t>
      </w:r>
    </w:p>
    <w:p w:rsidR="00E91236" w:rsidRDefault="00000000">
      <w:pPr>
        <w:pStyle w:val="Heading4"/>
        <w:rPr>
          <w:rFonts w:cs="Times New Roman"/>
          <w:b/>
          <w:i w:val="0"/>
        </w:rPr>
      </w:pPr>
      <w:r>
        <w:rPr>
          <w:rFonts w:cs="Times New Roman"/>
          <w:b/>
          <w:i w:val="0"/>
        </w:rPr>
        <w:t>ROLE OF HEALTHCARE TECHNOLOGY:</w:t>
      </w:r>
    </w:p>
    <w:p w:rsidR="00E91236" w:rsidRDefault="00000000">
      <w:pPr>
        <w:ind w:firstLine="720"/>
        <w:rPr>
          <w:rFonts w:cs="Times New Roman"/>
          <w:lang w:val="en-US"/>
        </w:rPr>
      </w:pPr>
      <w:r>
        <w:rPr>
          <w:rFonts w:cs="Times New Roman"/>
        </w:rPr>
        <w:t>Health information technology (HIT) effects on</w:t>
      </w:r>
      <w:r w:rsidR="00B00812">
        <w:rPr>
          <w:rFonts w:cs="Times New Roman"/>
        </w:rPr>
        <w:t xml:space="preserve"> the</w:t>
      </w:r>
      <w:r>
        <w:rPr>
          <w:rFonts w:cs="Times New Roman"/>
        </w:rPr>
        <w:t xml:space="preserve"> quality of health care, patient s</w:t>
      </w:r>
      <w:r w:rsidR="00B00812">
        <w:rPr>
          <w:rFonts w:cs="Times New Roman"/>
        </w:rPr>
        <w:t>afeguard</w:t>
      </w:r>
      <w:r>
        <w:rPr>
          <w:rFonts w:cs="Times New Roman"/>
        </w:rPr>
        <w:t xml:space="preserve">, and patient satisfaction. Substantive benefits in terms of quality metrics can be achieved by utilizing HIT systems, as computerized physician order entries (McCullough et al., 2010). Many studies have shown that HIT results in improved patient satisfaction, although the findings are inconclusive (Rozenblum et al., 2018). </w:t>
      </w:r>
    </w:p>
    <w:p w:rsidR="00E91236" w:rsidRDefault="00000000">
      <w:pPr>
        <w:ind w:firstLine="720"/>
        <w:rPr>
          <w:rFonts w:cs="Times New Roman"/>
          <w:lang w:val="en-US"/>
        </w:rPr>
      </w:pPr>
      <w:r>
        <w:rPr>
          <w:rFonts w:cs="Times New Roman"/>
          <w:lang w:val="en-US"/>
        </w:rPr>
        <w:t xml:space="preserve">The HITECH Act signed in February 2009 promoted the adoption of certified EHR systems as part of health IT systems in United States. </w:t>
      </w:r>
      <w:r w:rsidR="00B00812">
        <w:rPr>
          <w:rFonts w:cs="Times New Roman"/>
          <w:lang w:val="en-US"/>
        </w:rPr>
        <w:t>Different</w:t>
      </w:r>
      <w:r>
        <w:rPr>
          <w:rFonts w:cs="Times New Roman"/>
          <w:lang w:val="en-US"/>
        </w:rPr>
        <w:t xml:space="preserve"> countries have also embraced EHR in the regional and national settings including Denmark, Switzerland and Germany (Kruse &amp; Beane, 2018). Various investigations carried out show that health outcomes, administration efficiency, and healthcare costs are all associated with the use of HIT (</w:t>
      </w:r>
      <w:proofErr w:type="spellStart"/>
      <w:r>
        <w:rPr>
          <w:rFonts w:cs="Times New Roman"/>
          <w:lang w:val="en-US"/>
        </w:rPr>
        <w:t>Ammenwerth</w:t>
      </w:r>
      <w:proofErr w:type="spellEnd"/>
      <w:r>
        <w:rPr>
          <w:rFonts w:cs="Times New Roman"/>
          <w:lang w:val="en-US"/>
        </w:rPr>
        <w:t xml:space="preserve"> et al., 2008; Goldzweig et al, 2009; Free et al., 2018). Kruse and Beane (2018) in their systematic review identified that several HIT categories were </w:t>
      </w:r>
      <w:proofErr w:type="spellStart"/>
      <w:r>
        <w:rPr>
          <w:rFonts w:cs="Times New Roman"/>
          <w:lang w:val="en-US"/>
        </w:rPr>
        <w:t>utilised</w:t>
      </w:r>
      <w:proofErr w:type="spellEnd"/>
      <w:r>
        <w:rPr>
          <w:rFonts w:cs="Times New Roman"/>
          <w:lang w:val="en-US"/>
        </w:rPr>
        <w:t xml:space="preserve"> in the various studies, these included; Web-based HIT; </w:t>
      </w:r>
      <w:r>
        <w:rPr>
          <w:rFonts w:cs="Times New Roman"/>
          <w:lang w:val="en-US"/>
        </w:rPr>
        <w:lastRenderedPageBreak/>
        <w:t xml:space="preserve">Telemedicine and software; and Clinical decision support systems. They evaluated influence of various categories of HIT on various healthcare outcomes, including physical and mental health care, continuity of care and overall health care. Kruse and Beany (2018) showed that efficiency or effectiveness concerning medical outcomes was significantly enhanced by the </w:t>
      </w:r>
      <w:proofErr w:type="gramStart"/>
      <w:r>
        <w:rPr>
          <w:rFonts w:cs="Times New Roman"/>
          <w:lang w:val="en-US"/>
        </w:rPr>
        <w:t>HIT..</w:t>
      </w:r>
      <w:proofErr w:type="gramEnd"/>
      <w:r>
        <w:rPr>
          <w:rFonts w:cs="Times New Roman"/>
          <w:lang w:val="en-US"/>
        </w:rPr>
        <w:t xml:space="preserve"> </w:t>
      </w:r>
    </w:p>
    <w:p w:rsidR="00E91236" w:rsidRDefault="00000000">
      <w:pPr>
        <w:rPr>
          <w:rFonts w:cs="Times New Roman"/>
        </w:rPr>
      </w:pPr>
      <w:r>
        <w:rPr>
          <w:rFonts w:cs="Times New Roman"/>
        </w:rPr>
        <w:tab/>
        <w:t xml:space="preserve">The potential for HIT to improve healthcare quality and safety </w:t>
      </w:r>
      <w:r w:rsidR="00B00812">
        <w:rPr>
          <w:rFonts w:cs="Times New Roman"/>
        </w:rPr>
        <w:t xml:space="preserve">and </w:t>
      </w:r>
      <w:r>
        <w:rPr>
          <w:rFonts w:cs="Times New Roman"/>
        </w:rPr>
        <w:t>patient satisfaction is substantive, and for this reason an exponential increase has occurred in digital health investment (</w:t>
      </w:r>
      <w:proofErr w:type="spellStart"/>
      <w:r>
        <w:rPr>
          <w:rFonts w:cs="Times New Roman"/>
        </w:rPr>
        <w:t>Mobasheri</w:t>
      </w:r>
      <w:proofErr w:type="spellEnd"/>
      <w:r>
        <w:rPr>
          <w:rFonts w:cs="Times New Roman"/>
        </w:rPr>
        <w:t xml:space="preserve"> et al., 2015).  HIT streamlines management operations and increases operational efficiency, all the while reducing operational costs. It has been posited that adoption of HIT systems can allow healthcare providers to reach optimal quality, safety, and efficiency (Alsalman et al., 2021). </w:t>
      </w:r>
    </w:p>
    <w:p w:rsidR="00E91236" w:rsidRDefault="00000000">
      <w:pPr>
        <w:pStyle w:val="Heading3"/>
        <w:rPr>
          <w:rFonts w:cs="Times New Roman"/>
        </w:rPr>
      </w:pPr>
      <w:r>
        <w:rPr>
          <w:rFonts w:cs="Times New Roman"/>
        </w:rPr>
        <w:t xml:space="preserve">1.2. PROBLEM STATEMENT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Over the past few decades, Saudi Arabia has expanded its healthcare offerings in response to patient demands (Walston et al, 2018). Organizations and their employees' efficacy and efficiency are tracked and assessed using key performance indicators. According to this perspective, patient satisfaction surveys are a tool for tracking how well a hospital provides healthcare in relation to costs and services (Al-Abri &amp; Al-Balushi, 2014). In particular, the first healthcare consulting service that patients interact with is the outpatient department (OPD). As a result, patients' perceptions of the hospital's service quality </w:t>
      </w:r>
      <w:r w:rsidR="00B00812" w:rsidRPr="00B00812">
        <w:rPr>
          <w:rFonts w:ascii="Times New Roman" w:hAnsi="Times New Roman" w:cs="Times New Roman"/>
          <w:color w:val="auto"/>
        </w:rPr>
        <w:t>will show up in the standard of care</w:t>
      </w:r>
      <w:r>
        <w:rPr>
          <w:rFonts w:ascii="Times New Roman" w:hAnsi="Times New Roman" w:cs="Times New Roman"/>
          <w:color w:val="auto"/>
        </w:rPr>
        <w:t xml:space="preserve"> provided in outpatient departments (OPDs) (</w:t>
      </w:r>
      <w:proofErr w:type="spellStart"/>
      <w:r>
        <w:rPr>
          <w:rFonts w:ascii="Times New Roman" w:hAnsi="Times New Roman" w:cs="Times New Roman"/>
          <w:color w:val="auto"/>
        </w:rPr>
        <w:t>Mosadeghrad</w:t>
      </w:r>
      <w:proofErr w:type="spellEnd"/>
      <w:r>
        <w:rPr>
          <w:rFonts w:ascii="Times New Roman" w:hAnsi="Times New Roman" w:cs="Times New Roman"/>
          <w:color w:val="auto"/>
        </w:rPr>
        <w:t xml:space="preserve">, 2014).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Many patients have complained about inadequate healthcare delivery services during the past ten years (Reader, 2014). Among the major problems were the lack of qualified and trustworthy doctors and nurses, the rudeness of service providers at </w:t>
      </w:r>
      <w:r w:rsidR="00B00812">
        <w:rPr>
          <w:rFonts w:ascii="Times New Roman" w:hAnsi="Times New Roman" w:cs="Times New Roman"/>
          <w:color w:val="auto"/>
        </w:rPr>
        <w:t>every</w:t>
      </w:r>
      <w:r>
        <w:rPr>
          <w:rFonts w:ascii="Times New Roman" w:hAnsi="Times New Roman" w:cs="Times New Roman"/>
          <w:color w:val="auto"/>
        </w:rPr>
        <w:t xml:space="preserve"> </w:t>
      </w:r>
      <w:proofErr w:type="gramStart"/>
      <w:r>
        <w:rPr>
          <w:rFonts w:ascii="Times New Roman" w:hAnsi="Times New Roman" w:cs="Times New Roman"/>
          <w:color w:val="auto"/>
        </w:rPr>
        <w:t>levels</w:t>
      </w:r>
      <w:proofErr w:type="gramEnd"/>
      <w:r>
        <w:rPr>
          <w:rFonts w:ascii="Times New Roman" w:hAnsi="Times New Roman" w:cs="Times New Roman"/>
          <w:color w:val="auto"/>
        </w:rPr>
        <w:t xml:space="preserve">, the lack of basic infrastructure, outdated medical equipment, inefficient medical supplies, the low quantity and poor quality of medications provided, and the lack of appropriate hygiene practices (Reader, 2014). These considerations compelled people to switch providers even if they had superior options. Because they offered higher-quality medical care, more effective treatment, and positive user-provider interactions, the majority of patients opted for private health care services like private hospitals, polyclinics, specialty clinics, private consultation rooms, private laboratories, and private pharmacies. </w:t>
      </w:r>
    </w:p>
    <w:p w:rsidR="00E91236" w:rsidRDefault="00B00812">
      <w:pPr>
        <w:pStyle w:val="Default"/>
        <w:spacing w:line="360" w:lineRule="auto"/>
        <w:ind w:firstLine="720"/>
        <w:jc w:val="both"/>
        <w:rPr>
          <w:rFonts w:ascii="Times New Roman" w:hAnsi="Times New Roman" w:cs="Times New Roman"/>
          <w:color w:val="auto"/>
        </w:rPr>
      </w:pPr>
      <w:r w:rsidRPr="00B00812">
        <w:rPr>
          <w:rFonts w:ascii="Times New Roman" w:hAnsi="Times New Roman" w:cs="Times New Roman"/>
          <w:color w:val="auto"/>
        </w:rPr>
        <w:lastRenderedPageBreak/>
        <w:t>Previous studies in this field have focused on several aspects, such as patient satisfaction with waiting times in a tertiary care hospital's medicine outpatient department (OPD) (Al-</w:t>
      </w:r>
      <w:proofErr w:type="spellStart"/>
      <w:r w:rsidRPr="00B00812">
        <w:rPr>
          <w:rFonts w:ascii="Times New Roman" w:hAnsi="Times New Roman" w:cs="Times New Roman"/>
          <w:color w:val="auto"/>
        </w:rPr>
        <w:t>Harajin</w:t>
      </w:r>
      <w:proofErr w:type="spellEnd"/>
      <w:r w:rsidRPr="00B00812">
        <w:rPr>
          <w:rFonts w:ascii="Times New Roman" w:hAnsi="Times New Roman" w:cs="Times New Roman"/>
          <w:color w:val="auto"/>
        </w:rPr>
        <w:t xml:space="preserve"> et al., 2019); physician-patient and nurse-patient interactions in terms of the communication skills of physicians and nurses (Kartika et al., 2018); accessibility to services and facilities in terms of waiting time, working schedule, and service procedures; and patient satisfaction with convenience, courtesy, and the quality of care (Al Shamsi et al., 2020; Chandra et al., 2019; Abass et al., 2021; Goula et al., 2022; Al-</w:t>
      </w:r>
      <w:proofErr w:type="spellStart"/>
      <w:r w:rsidRPr="00B00812">
        <w:rPr>
          <w:rFonts w:ascii="Times New Roman" w:hAnsi="Times New Roman" w:cs="Times New Roman"/>
          <w:color w:val="auto"/>
        </w:rPr>
        <w:t>Qudah</w:t>
      </w:r>
      <w:proofErr w:type="spellEnd"/>
      <w:r w:rsidRPr="00B00812">
        <w:rPr>
          <w:rFonts w:ascii="Times New Roman" w:hAnsi="Times New Roman" w:cs="Times New Roman"/>
          <w:color w:val="auto"/>
        </w:rPr>
        <w:t>, 2022; Molla et al., 2022; Serhan et al., 2022</w:t>
      </w:r>
      <w:r w:rsidR="00CC29F0">
        <w:rPr>
          <w:rFonts w:ascii="Times New Roman" w:hAnsi="Times New Roman" w:cs="Times New Roman"/>
          <w:color w:val="auto"/>
        </w:rPr>
        <w:t xml:space="preserve">).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The present study </w:t>
      </w:r>
      <w:proofErr w:type="gramStart"/>
      <w:r w:rsidR="00CC29F0">
        <w:rPr>
          <w:rFonts w:ascii="Times New Roman" w:hAnsi="Times New Roman" w:cs="Times New Roman"/>
          <w:color w:val="auto"/>
        </w:rPr>
        <w:t>focus</w:t>
      </w:r>
      <w:proofErr w:type="gramEnd"/>
      <w:r>
        <w:rPr>
          <w:rFonts w:ascii="Times New Roman" w:hAnsi="Times New Roman" w:cs="Times New Roman"/>
          <w:color w:val="auto"/>
        </w:rPr>
        <w:t xml:space="preserve"> to build on previous research to evaluate the effect healthcare technology can have on the quality of services provided in outpatient departments on hospitals in the south region of Saudi Arabia. It aims to explore how HIT can reinforce efforts to maximize patient satisfaction and overall healthcare quality as well.</w:t>
      </w:r>
    </w:p>
    <w:p w:rsidR="00E91236" w:rsidRDefault="00000000">
      <w:pPr>
        <w:pStyle w:val="Heading3"/>
        <w:rPr>
          <w:rFonts w:cs="Times New Roman"/>
        </w:rPr>
      </w:pPr>
      <w:r>
        <w:rPr>
          <w:rFonts w:cs="Times New Roman"/>
        </w:rPr>
        <w:t xml:space="preserve">1.3. RESEARCH QUESTIONS </w:t>
      </w:r>
    </w:p>
    <w:p w:rsidR="00E91236" w:rsidRDefault="00000000">
      <w:pPr>
        <w:pStyle w:val="Default"/>
        <w:spacing w:line="360" w:lineRule="auto"/>
        <w:jc w:val="both"/>
        <w:rPr>
          <w:rFonts w:ascii="Times New Roman" w:hAnsi="Times New Roman" w:cs="Times New Roman"/>
          <w:color w:val="auto"/>
        </w:rPr>
      </w:pPr>
      <w:r>
        <w:rPr>
          <w:rFonts w:ascii="Times New Roman" w:hAnsi="Times New Roman" w:cs="Times New Roman"/>
          <w:color w:val="auto"/>
        </w:rPr>
        <w:t xml:space="preserve">Constructed on the background introduction, the research questions are derived from the problem statement, and the present study intends to find answers to each of the research questions as below: </w:t>
      </w:r>
    </w:p>
    <w:p w:rsidR="00E91236" w:rsidRDefault="00000000">
      <w:pPr>
        <w:pStyle w:val="ListParagraph"/>
        <w:numPr>
          <w:ilvl w:val="0"/>
          <w:numId w:val="1"/>
        </w:numPr>
        <w:rPr>
          <w:szCs w:val="24"/>
          <w:lang w:val="en-US"/>
        </w:rPr>
      </w:pPr>
      <w:r>
        <w:rPr>
          <w:szCs w:val="24"/>
          <w:lang w:val="en-US"/>
        </w:rPr>
        <w:t xml:space="preserve">How does OPD services and facilities in the areas of physical facilities, physician, nurse’s, pharmacies and registrations effects healthcare quality in south region of Saudi Arabia? </w:t>
      </w:r>
    </w:p>
    <w:p w:rsidR="00E91236" w:rsidRDefault="00000000">
      <w:pPr>
        <w:pStyle w:val="ListParagraph"/>
        <w:numPr>
          <w:ilvl w:val="0"/>
          <w:numId w:val="1"/>
        </w:numPr>
        <w:rPr>
          <w:szCs w:val="24"/>
          <w:lang w:val="en-US"/>
        </w:rPr>
      </w:pPr>
      <w:r>
        <w:rPr>
          <w:szCs w:val="24"/>
          <w:lang w:val="en-US"/>
        </w:rPr>
        <w:t xml:space="preserve">How does the technology efficiency effect on the healthcare quality performance in south region of Saudi Arabia? </w:t>
      </w:r>
    </w:p>
    <w:p w:rsidR="00E91236" w:rsidRDefault="00000000">
      <w:pPr>
        <w:pStyle w:val="ListParagraph"/>
        <w:numPr>
          <w:ilvl w:val="0"/>
          <w:numId w:val="1"/>
        </w:numPr>
        <w:rPr>
          <w:szCs w:val="24"/>
          <w:lang w:val="en-US"/>
        </w:rPr>
      </w:pPr>
      <w:r>
        <w:rPr>
          <w:szCs w:val="24"/>
          <w:lang w:val="en-US"/>
        </w:rPr>
        <w:t xml:space="preserve">How the technology efficiency does effects on OPD services and facilities in the areas of physical facilities, physician, nurse’s, pharmacy and registrations towards health care quality in south region of Saudi Arabia? </w:t>
      </w:r>
    </w:p>
    <w:p w:rsidR="00E91236" w:rsidRDefault="00000000">
      <w:pPr>
        <w:pStyle w:val="Heading3"/>
        <w:rPr>
          <w:rFonts w:cs="Times New Roman"/>
        </w:rPr>
      </w:pPr>
      <w:r>
        <w:rPr>
          <w:rFonts w:cs="Times New Roman"/>
        </w:rPr>
        <w:t xml:space="preserve">1.4. RESEARCH OBJECTIVES </w:t>
      </w:r>
    </w:p>
    <w:p w:rsidR="00E91236" w:rsidRDefault="00000000">
      <w:pPr>
        <w:rPr>
          <w:rFonts w:cs="Times New Roman"/>
        </w:rPr>
      </w:pPr>
      <w:r>
        <w:rPr>
          <w:rFonts w:cs="Times New Roman"/>
        </w:rPr>
        <w:t>The main research objectives based on our problem statement and research questions emerge as follows:</w:t>
      </w:r>
    </w:p>
    <w:p w:rsidR="00E91236" w:rsidRDefault="00000000">
      <w:pPr>
        <w:pStyle w:val="ListParagraph"/>
        <w:numPr>
          <w:ilvl w:val="0"/>
          <w:numId w:val="9"/>
        </w:numPr>
        <w:rPr>
          <w:szCs w:val="24"/>
          <w:lang w:val="en-US"/>
        </w:rPr>
      </w:pPr>
      <w:r>
        <w:rPr>
          <w:szCs w:val="24"/>
          <w:lang w:val="en-US"/>
        </w:rPr>
        <w:t xml:space="preserve">To investigate the effects of OPD services and facilities in the areas of physical facilities, physician, nurse’s, pharmacy and registrations on healthcare quality in Saudi Arabia </w:t>
      </w:r>
    </w:p>
    <w:p w:rsidR="00E91236" w:rsidRDefault="00000000">
      <w:pPr>
        <w:pStyle w:val="ListParagraph"/>
        <w:numPr>
          <w:ilvl w:val="0"/>
          <w:numId w:val="9"/>
        </w:numPr>
        <w:rPr>
          <w:szCs w:val="24"/>
          <w:lang w:val="en-US"/>
        </w:rPr>
      </w:pPr>
      <w:r>
        <w:rPr>
          <w:szCs w:val="24"/>
          <w:lang w:val="en-US"/>
        </w:rPr>
        <w:t xml:space="preserve">To examine the technology efficiency effect on the healthcare quality in Saudi Arabia </w:t>
      </w:r>
    </w:p>
    <w:p w:rsidR="00E91236" w:rsidRDefault="00000000">
      <w:pPr>
        <w:pStyle w:val="ListParagraph"/>
        <w:numPr>
          <w:ilvl w:val="0"/>
          <w:numId w:val="9"/>
        </w:numPr>
        <w:rPr>
          <w:szCs w:val="24"/>
          <w:lang w:val="en-US"/>
        </w:rPr>
      </w:pPr>
      <w:r>
        <w:rPr>
          <w:szCs w:val="24"/>
          <w:lang w:val="en-US"/>
        </w:rPr>
        <w:t xml:space="preserve">To explore the technology efficiency effects on OPD services and facilities in the areas of physical facilities, physician, nurse’s, pharmacy and registrations towards health care quality of Saudi Arabia </w:t>
      </w:r>
    </w:p>
    <w:p w:rsidR="00E91236" w:rsidRDefault="00000000">
      <w:pPr>
        <w:pStyle w:val="Heading3"/>
        <w:rPr>
          <w:rFonts w:cs="Times New Roman"/>
        </w:rPr>
      </w:pPr>
      <w:r>
        <w:rPr>
          <w:rFonts w:cs="Times New Roman"/>
        </w:rPr>
        <w:lastRenderedPageBreak/>
        <w:t>1.5. SIGNIFICANCE OF PRESENT RESEARCH</w:t>
      </w:r>
    </w:p>
    <w:p w:rsidR="00E91236" w:rsidRDefault="00000000">
      <w:pPr>
        <w:ind w:firstLine="720"/>
        <w:rPr>
          <w:rFonts w:cs="Times New Roman"/>
        </w:rPr>
      </w:pPr>
      <w:r>
        <w:rPr>
          <w:rFonts w:cs="Times New Roman"/>
        </w:rPr>
        <w:t xml:space="preserve">Since clinical process and outcome metrics frequently take precedence in the quality-of-care equation, it is anticipated that patient satisfaction measurements will become more and more significant in the growing movement toward responsibility among healthcare professionals. Hospitals' plans and methods for providing patient services are heavily influenced by patient satisfaction with outpatient and ambulatory care (Afzal et al., 2022). Numerous aspects of health care, such as </w:t>
      </w:r>
      <w:r w:rsidR="00B00812">
        <w:rPr>
          <w:rFonts w:cs="Times New Roman"/>
        </w:rPr>
        <w:t>s</w:t>
      </w:r>
      <w:r w:rsidR="00B00812" w:rsidRPr="00B00812">
        <w:rPr>
          <w:rFonts w:cs="Times New Roman"/>
        </w:rPr>
        <w:t>ervice accessibility, availability, and convenience</w:t>
      </w:r>
      <w:r>
        <w:rPr>
          <w:rFonts w:cs="Times New Roman"/>
        </w:rPr>
        <w:t xml:space="preserve">, provider technical proficiency, interpersonal skills, and the physical setting in which services are provided, </w:t>
      </w:r>
      <w:r w:rsidR="00B00812" w:rsidRPr="00B00812">
        <w:rPr>
          <w:rFonts w:cs="Times New Roman"/>
        </w:rPr>
        <w:t>are taken into account while calculating patient satisfaction levels</w:t>
      </w:r>
      <w:r w:rsidR="00B00812" w:rsidRPr="00B00812">
        <w:rPr>
          <w:rFonts w:cs="Times New Roman"/>
        </w:rPr>
        <w:t xml:space="preserve"> </w:t>
      </w:r>
      <w:r>
        <w:rPr>
          <w:rFonts w:cs="Times New Roman"/>
        </w:rPr>
        <w:t>(</w:t>
      </w:r>
      <w:proofErr w:type="spellStart"/>
      <w:r>
        <w:rPr>
          <w:rFonts w:cs="Times New Roman"/>
        </w:rPr>
        <w:t>Alsayali</w:t>
      </w:r>
      <w:proofErr w:type="spellEnd"/>
      <w:r>
        <w:rPr>
          <w:rFonts w:cs="Times New Roman"/>
        </w:rPr>
        <w:t xml:space="preserve"> MM, et al 2019).</w:t>
      </w:r>
    </w:p>
    <w:p w:rsidR="00E91236" w:rsidRDefault="00000000">
      <w:pPr>
        <w:ind w:firstLine="720"/>
        <w:rPr>
          <w:rFonts w:cs="Times New Roman"/>
        </w:rPr>
      </w:pPr>
      <w:r>
        <w:rPr>
          <w:rFonts w:cs="Times New Roman"/>
        </w:rPr>
        <w:t>Utilizing Health Information Technology (HIT) to increase the efficiency of services and facilities in hospitals is becoming the norm now. The implementation of HIT can automate several basic functions related to patient information, such as decision support systems, bar-coding, and supply chain functions; this can make documentation and viewing of records easier (Alsalman et al., 2021). Using HIT to improve healthcare quality in terms of patient satisfaction metrics has exciting implications; this has been shown both by modelling studies (Roham et al., 2019), as well as by clinical studies (Lu et al., 2018). The present study can provide unique insight regarding how technology can improve efficiency of services and facilities, and ultimately, patient satisfaction in OPDs in Saudi Arabia.</w:t>
      </w:r>
    </w:p>
    <w:p w:rsidR="00E91236" w:rsidRDefault="00000000">
      <w:pPr>
        <w:pStyle w:val="Heading3"/>
        <w:rPr>
          <w:rFonts w:cs="Times New Roman"/>
        </w:rPr>
      </w:pPr>
      <w:r>
        <w:rPr>
          <w:rFonts w:cs="Times New Roman"/>
        </w:rPr>
        <w:t>1.6. SCOPE OF RESEARCH</w:t>
      </w:r>
    </w:p>
    <w:p w:rsidR="00E91236" w:rsidRDefault="00000000">
      <w:pPr>
        <w:ind w:firstLine="720"/>
        <w:rPr>
          <w:rFonts w:cs="Times New Roman"/>
        </w:rPr>
      </w:pPr>
      <w:r>
        <w:rPr>
          <w:rFonts w:cs="Times New Roman"/>
        </w:rPr>
        <w:t>Healthcare services in Saudi Arabia include both private and government sector hospitals and facilities (Rahman, 2020). Facilities in both these sectors offer emergency services, outpatient and inpatient services, long-stays, day care stays, and other services (</w:t>
      </w:r>
      <w:proofErr w:type="spellStart"/>
      <w:r>
        <w:rPr>
          <w:rFonts w:cs="Times New Roman"/>
        </w:rPr>
        <w:t>Binsalih</w:t>
      </w:r>
      <w:proofErr w:type="spellEnd"/>
      <w:r>
        <w:rPr>
          <w:rFonts w:cs="Times New Roman"/>
        </w:rPr>
        <w:t xml:space="preserve"> et al., 2021). Although there is a wide range of services proffered, the present study will focus on outpatient services in hospitals across both sectors in the Southern region of Saudi Arabia. </w:t>
      </w:r>
    </w:p>
    <w:p w:rsidR="00E91236" w:rsidRDefault="00000000">
      <w:pPr>
        <w:ind w:firstLine="720"/>
        <w:rPr>
          <w:rFonts w:cs="Times New Roman"/>
        </w:rPr>
      </w:pPr>
      <w:r>
        <w:rPr>
          <w:rFonts w:cs="Times New Roman"/>
        </w:rPr>
        <w:t xml:space="preserve">While the study primarily focuses on determining how technology can, and has, impacted efficiency of services and facilities in OPDs, and how this can subsequently affect healthcare quality in terms of patient </w:t>
      </w:r>
      <w:r w:rsidR="003A0FCA">
        <w:rPr>
          <w:rFonts w:cs="Times New Roman"/>
        </w:rPr>
        <w:t>comfort</w:t>
      </w:r>
      <w:r>
        <w:rPr>
          <w:rFonts w:cs="Times New Roman"/>
        </w:rPr>
        <w:t>, the scope of the study extends beyond that. Patient satisfaction can be utilized as a novel marketing tool (</w:t>
      </w:r>
      <w:proofErr w:type="spellStart"/>
      <w:r>
        <w:rPr>
          <w:rFonts w:cs="Times New Roman"/>
        </w:rPr>
        <w:t>Purcarea</w:t>
      </w:r>
      <w:proofErr w:type="spellEnd"/>
      <w:r>
        <w:rPr>
          <w:rFonts w:cs="Times New Roman"/>
        </w:rPr>
        <w:t xml:space="preserve">, 2019), and can replace previous strategies, such as offering commercial discounts or deals on outpatient services or incentivizing the public </w:t>
      </w:r>
      <w:r>
        <w:rPr>
          <w:rFonts w:cs="Times New Roman"/>
        </w:rPr>
        <w:lastRenderedPageBreak/>
        <w:t>by marketing medical technologies or western trained staff (</w:t>
      </w:r>
      <w:proofErr w:type="spellStart"/>
      <w:r>
        <w:rPr>
          <w:rFonts w:cs="Times New Roman"/>
        </w:rPr>
        <w:t>Algudairi</w:t>
      </w:r>
      <w:proofErr w:type="spellEnd"/>
      <w:r>
        <w:rPr>
          <w:rFonts w:cs="Times New Roman"/>
        </w:rPr>
        <w:t xml:space="preserve"> et al., 2018; Alotaibi et al., 2021).</w:t>
      </w:r>
    </w:p>
    <w:p w:rsidR="00E91236" w:rsidRDefault="00000000">
      <w:pPr>
        <w:pStyle w:val="Heading3"/>
        <w:rPr>
          <w:rFonts w:cs="Times New Roman"/>
        </w:rPr>
      </w:pPr>
      <w:r>
        <w:rPr>
          <w:rFonts w:cs="Times New Roman"/>
        </w:rPr>
        <w:t xml:space="preserve">1.7. LIMITATION OF THE STUDY </w:t>
      </w:r>
    </w:p>
    <w:p w:rsidR="00E91236" w:rsidRDefault="00000000" w:rsidP="00DE2FCE">
      <w:pPr>
        <w:ind w:firstLine="720"/>
        <w:rPr>
          <w:bCs/>
          <w:szCs w:val="24"/>
          <w:lang w:val="en-US"/>
        </w:rPr>
      </w:pPr>
      <w:r>
        <w:t xml:space="preserve">The study will have certain limitations. Data collected on patient satisfaction in outpatients cannot be generalized to other hospital departments and services. The study is academic research with a limited time span and budget, which are major constraints in conducting clinical research (Wu &amp; Lu, 2018; Grasso et al., 2021). </w:t>
      </w:r>
      <w:r>
        <w:rPr>
          <w:bCs/>
          <w:szCs w:val="24"/>
          <w:lang w:val="en-US"/>
        </w:rPr>
        <w:t xml:space="preserve">Timing of the cross-sectional snapshot due to our study design might not accurately reflect the group's overall behavior, and it may be difficult to establish cause-and-effect relationships between study outcomes. </w:t>
      </w:r>
      <w:r>
        <w:t xml:space="preserve">There can be limitations related to language issues, especially since most of the validated patient-satisfaction questionnaires are in English, and some subtext may be lost in translation. The study will also be limited to a specific region and may not be generalizable to the entire Saudi population. </w:t>
      </w:r>
    </w:p>
    <w:p w:rsidR="00E91236" w:rsidRDefault="00000000">
      <w:pPr>
        <w:pStyle w:val="Heading3"/>
        <w:rPr>
          <w:rFonts w:cs="Times New Roman"/>
        </w:rPr>
      </w:pPr>
      <w:r>
        <w:rPr>
          <w:rFonts w:cs="Times New Roman"/>
        </w:rPr>
        <w:t>1.8. OPERATIONAL DEFINITIONS</w:t>
      </w:r>
    </w:p>
    <w:p w:rsidR="00E91236" w:rsidRDefault="00000000" w:rsidP="00DE2FCE">
      <w:pPr>
        <w:ind w:firstLine="720"/>
      </w:pPr>
      <w:r>
        <w:t>The research structure is designed to explain the influence technology efficiency can have on outpatient health services and facilities. The operational definitions in this research pertain to the definitions from the researcher’s perspective and they are highlighted in table below.</w:t>
      </w:r>
    </w:p>
    <w:tbl>
      <w:tblPr>
        <w:tblStyle w:val="GridTable1Light1"/>
        <w:tblW w:w="0" w:type="auto"/>
        <w:tblLook w:val="04A0" w:firstRow="1" w:lastRow="0" w:firstColumn="1" w:lastColumn="0" w:noHBand="0" w:noVBand="1"/>
      </w:tblPr>
      <w:tblGrid>
        <w:gridCol w:w="1795"/>
        <w:gridCol w:w="7555"/>
      </w:tblGrid>
      <w:tr w:rsidR="00E91236" w:rsidTr="00E91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Term</w:t>
            </w:r>
          </w:p>
        </w:tc>
        <w:tc>
          <w:tcPr>
            <w:tcW w:w="7555" w:type="dxa"/>
          </w:tcPr>
          <w:p w:rsidR="00E91236" w:rsidRDefault="00000000">
            <w:pPr>
              <w:cnfStyle w:val="100000000000" w:firstRow="1" w:lastRow="0" w:firstColumn="0" w:lastColumn="0" w:oddVBand="0" w:evenVBand="0" w:oddHBand="0" w:evenHBand="0" w:firstRowFirstColumn="0" w:firstRowLastColumn="0" w:lastRowFirstColumn="0" w:lastRowLastColumn="0"/>
            </w:pPr>
            <w:r>
              <w:t>Operational Definition</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Healthcare Technology</w:t>
            </w:r>
          </w:p>
        </w:tc>
        <w:tc>
          <w:tcPr>
            <w:tcW w:w="7555" w:type="dxa"/>
          </w:tcPr>
          <w:p w:rsidR="00E91236" w:rsidRDefault="0000000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It alludes to </w:t>
            </w:r>
            <w:r>
              <w:rPr>
                <w:rFonts w:cs="Times New Roman"/>
              </w:rPr>
              <w:t xml:space="preserve">use of technology systems to </w:t>
            </w:r>
            <w:r w:rsidR="003A0FCA">
              <w:rPr>
                <w:rFonts w:cs="Times New Roman"/>
              </w:rPr>
              <w:t>enhance</w:t>
            </w:r>
            <w:r>
              <w:rPr>
                <w:rFonts w:cs="Times New Roman"/>
              </w:rPr>
              <w:t xml:space="preserve"> various aspects of healthcare and to increase their efficiency. Major domains of HIT include guiding decision support, making physician entries computerized, and maintaining an electronic medical record (EMR).</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Technology Efficiency</w:t>
            </w:r>
          </w:p>
        </w:tc>
        <w:tc>
          <w:tcPr>
            <w:tcW w:w="7555" w:type="dxa"/>
          </w:tcPr>
          <w:p w:rsidR="00E91236" w:rsidRDefault="00000000">
            <w:pPr>
              <w:cnfStyle w:val="000000000000" w:firstRow="0" w:lastRow="0" w:firstColumn="0" w:lastColumn="0" w:oddVBand="0" w:evenVBand="0" w:oddHBand="0" w:evenHBand="0" w:firstRowFirstColumn="0" w:firstRowLastColumn="0" w:lastRowFirstColumn="0" w:lastRowLastColumn="0"/>
            </w:pPr>
            <w:r>
              <w:t>It pertains to effect of technology systems in increasing efficiency of orders, systems, and other aspects related to healthcare, including both clinical and non-clinical systems</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Patient Satisfaction</w:t>
            </w:r>
          </w:p>
        </w:tc>
        <w:tc>
          <w:tcPr>
            <w:tcW w:w="7555" w:type="dxa"/>
          </w:tcPr>
          <w:p w:rsidR="00E91236" w:rsidRDefault="00000000">
            <w:pPr>
              <w:cnfStyle w:val="000000000000" w:firstRow="0" w:lastRow="0" w:firstColumn="0" w:lastColumn="0" w:oddVBand="0" w:evenVBand="0" w:oddHBand="0" w:evenHBand="0" w:firstRowFirstColumn="0" w:firstRowLastColumn="0" w:lastRowFirstColumn="0" w:lastRowLastColumn="0"/>
            </w:pPr>
            <w:r>
              <w:t xml:space="preserve">Patient satisfaction is a </w:t>
            </w:r>
            <w:r w:rsidR="00CC29F0">
              <w:t>system</w:t>
            </w:r>
            <w:r>
              <w:t xml:space="preserve"> of patient expectations and the importance of each point of contact with </w:t>
            </w:r>
            <w:r w:rsidR="00F7046A">
              <w:t xml:space="preserve">the </w:t>
            </w:r>
            <w:r>
              <w:t>patient.</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Electronic Health Record</w:t>
            </w:r>
          </w:p>
        </w:tc>
        <w:tc>
          <w:tcPr>
            <w:tcW w:w="7555" w:type="dxa"/>
          </w:tcPr>
          <w:p w:rsidR="00E91236" w:rsidRDefault="00CC29F0">
            <w:pPr>
              <w:cnfStyle w:val="000000000000" w:firstRow="0" w:lastRow="0" w:firstColumn="0" w:lastColumn="0" w:oddVBand="0" w:evenVBand="0" w:oddHBand="0" w:evenHBand="0" w:firstRowFirstColumn="0" w:firstRowLastColumn="0" w:lastRowFirstColumn="0" w:lastRowLastColumn="0"/>
            </w:pPr>
            <w:r w:rsidRPr="00CC29F0">
              <w:rPr>
                <w:shd w:val="clear" w:color="auto" w:fill="FFFFFB"/>
              </w:rPr>
              <w:t xml:space="preserve">A compilation of an individual's electronic (digital) medical records saved on </w:t>
            </w:r>
            <w:r w:rsidR="00F7046A">
              <w:rPr>
                <w:shd w:val="clear" w:color="auto" w:fill="FFFFFB"/>
              </w:rPr>
              <w:t>the</w:t>
            </w:r>
            <w:r w:rsidRPr="00CC29F0">
              <w:rPr>
                <w:shd w:val="clear" w:color="auto" w:fill="FFFFFB"/>
              </w:rPr>
              <w:t xml:space="preserve"> computer.</w:t>
            </w:r>
            <w:r w:rsidR="00F7046A">
              <w:rPr>
                <w:shd w:val="clear" w:color="auto" w:fill="FFFFFB"/>
              </w:rPr>
              <w:t xml:space="preserve"> </w:t>
            </w:r>
            <w:r w:rsidR="00F7046A" w:rsidRPr="00F7046A">
              <w:rPr>
                <w:shd w:val="clear" w:color="auto" w:fill="FFFFFB"/>
              </w:rPr>
              <w:t xml:space="preserve">A patient's healthcare history, comprising diagnoses, prescription medications, tests, allergens, vaccinations, and therapeutic plans, </w:t>
            </w:r>
            <w:r w:rsidR="00F7046A" w:rsidRPr="00F7046A">
              <w:rPr>
                <w:shd w:val="clear" w:color="auto" w:fill="FFFFFB"/>
              </w:rPr>
              <w:lastRenderedPageBreak/>
              <w:t xml:space="preserve">is contained in their electronic medical record. All medical professionals who treat patients have access to their electronic medical records, which they can utilize to inform their treatment </w:t>
            </w:r>
            <w:proofErr w:type="gramStart"/>
            <w:r w:rsidR="00F7046A" w:rsidRPr="00F7046A">
              <w:rPr>
                <w:shd w:val="clear" w:color="auto" w:fill="FFFFFB"/>
              </w:rPr>
              <w:t>choices.</w:t>
            </w:r>
            <w:r>
              <w:rPr>
                <w:shd w:val="clear" w:color="auto" w:fill="FFFFFB"/>
              </w:rPr>
              <w:t>.</w:t>
            </w:r>
            <w:proofErr w:type="gramEnd"/>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lastRenderedPageBreak/>
              <w:t>Personal Health Record (PHR)</w:t>
            </w:r>
          </w:p>
        </w:tc>
        <w:tc>
          <w:tcPr>
            <w:tcW w:w="7555" w:type="dxa"/>
          </w:tcPr>
          <w:p w:rsidR="00E91236" w:rsidRDefault="00F7046A">
            <w:pPr>
              <w:cnfStyle w:val="000000000000" w:firstRow="0" w:lastRow="0" w:firstColumn="0" w:lastColumn="0" w:oddVBand="0" w:evenVBand="0" w:oddHBand="0" w:evenHBand="0" w:firstRowFirstColumn="0" w:firstRowLastColumn="0" w:lastRowFirstColumn="0" w:lastRowLastColumn="0"/>
            </w:pPr>
            <w:r w:rsidRPr="00F7046A">
              <w:rPr>
                <w:shd w:val="clear" w:color="auto" w:fill="FFFFFB"/>
              </w:rPr>
              <w:t xml:space="preserve">An assortment of health-related data that </w:t>
            </w:r>
            <w:r w:rsidR="00CC29F0" w:rsidRPr="00CC29F0">
              <w:rPr>
                <w:shd w:val="clear" w:color="auto" w:fill="FFFFFB"/>
              </w:rPr>
              <w:t xml:space="preserve">gives a person the ability to keep track of </w:t>
            </w:r>
            <w:r w:rsidRPr="00F7046A">
              <w:rPr>
                <w:shd w:val="clear" w:color="auto" w:fill="FFFFFB"/>
              </w:rPr>
              <w:t>and control their own medical data</w:t>
            </w:r>
            <w:r w:rsidR="00CC29F0" w:rsidRPr="00CC29F0">
              <w:rPr>
                <w:shd w:val="clear" w:color="auto" w:fill="FFFFFB"/>
              </w:rPr>
              <w:t>. A personal health record contains information about diseases, allergies, surgeries, immunizations, and the results of tests, screenings, and physical examinations. It may also contain details about prescription drugs taken and health habits like eating and exercising</w:t>
            </w:r>
            <w:r w:rsidR="00CC29F0">
              <w:rPr>
                <w:shd w:val="clear" w:color="auto" w:fill="FFFFFB"/>
              </w:rPr>
              <w:t>. </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E-prescribing</w:t>
            </w:r>
          </w:p>
        </w:tc>
        <w:tc>
          <w:tcPr>
            <w:tcW w:w="7555" w:type="dxa"/>
          </w:tcPr>
          <w:p w:rsidR="00E91236" w:rsidRDefault="00000000">
            <w:pPr>
              <w:cnfStyle w:val="000000000000" w:firstRow="0" w:lastRow="0" w:firstColumn="0" w:lastColumn="0" w:oddVBand="0" w:evenVBand="0" w:oddHBand="0" w:evenHBand="0" w:firstRowFirstColumn="0" w:firstRowLastColumn="0" w:lastRowFirstColumn="0" w:lastRowLastColumn="0"/>
              <w:rPr>
                <w:shd w:val="clear" w:color="auto" w:fill="FFFFFB"/>
              </w:rPr>
            </w:pPr>
            <w:r>
              <w:rPr>
                <w:lang w:val="en-US"/>
              </w:rPr>
              <w:t>Prescription and medication order communication is facilitated and improved by using electronic systems, which also offer a strong audit trail for the complete medication use process and help with medication selection, administration, and supply through knowledge and decision support</w:t>
            </w:r>
            <w:r>
              <w:t>.</w:t>
            </w:r>
          </w:p>
        </w:tc>
      </w:tr>
      <w:tr w:rsidR="00E91236" w:rsidTr="00E91236">
        <w:tc>
          <w:tcPr>
            <w:cnfStyle w:val="001000000000" w:firstRow="0" w:lastRow="0" w:firstColumn="1" w:lastColumn="0" w:oddVBand="0" w:evenVBand="0" w:oddHBand="0" w:evenHBand="0" w:firstRowFirstColumn="0" w:firstRowLastColumn="0" w:lastRowFirstColumn="0" w:lastRowLastColumn="0"/>
            <w:tcW w:w="1795" w:type="dxa"/>
          </w:tcPr>
          <w:p w:rsidR="00E91236" w:rsidRDefault="00000000">
            <w:r>
              <w:t>Outpatient Department</w:t>
            </w:r>
          </w:p>
        </w:tc>
        <w:tc>
          <w:tcPr>
            <w:tcW w:w="7555" w:type="dxa"/>
          </w:tcPr>
          <w:p w:rsidR="00E91236" w:rsidRDefault="00000000">
            <w:pPr>
              <w:cnfStyle w:val="000000000000" w:firstRow="0" w:lastRow="0" w:firstColumn="0" w:lastColumn="0" w:oddVBand="0" w:evenVBand="0" w:oddHBand="0" w:evenHBand="0" w:firstRowFirstColumn="0" w:firstRowLastColumn="0" w:lastRowFirstColumn="0" w:lastRowLastColumn="0"/>
            </w:pPr>
            <w:r>
              <w:t xml:space="preserve">A facility which patients attend for diagnosis and treatment without spending the night. It consists of different clinics, and can include nursing services, pharmacy services, diagnostic services, and clinical services. </w:t>
            </w:r>
          </w:p>
        </w:tc>
      </w:tr>
    </w:tbl>
    <w:p w:rsidR="00E91236" w:rsidRDefault="00E91236"/>
    <w:p w:rsidR="00E91236" w:rsidRDefault="00000000">
      <w:pPr>
        <w:pStyle w:val="Heading3"/>
        <w:rPr>
          <w:rFonts w:cs="Times New Roman"/>
        </w:rPr>
      </w:pPr>
      <w:r>
        <w:rPr>
          <w:rFonts w:cs="Times New Roman"/>
        </w:rPr>
        <w:t xml:space="preserve">1.9. ORGANIZATION OF THE THESIS </w:t>
      </w:r>
    </w:p>
    <w:p w:rsidR="00E91236" w:rsidRDefault="00000000" w:rsidP="00DE2FCE">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The research structure is designed to provide a detailed literature review on the role of HIT in improving services and facilities, and its impact on healthcare quality as measured by patient satisfaction; this literature review then guides the methodology, and subsequently, results and recommendations from the research. These are detailed in fiver chapters as outlined below:</w:t>
      </w:r>
    </w:p>
    <w:p w:rsidR="00E91236" w:rsidRDefault="00000000">
      <w:pPr>
        <w:pStyle w:val="Default"/>
        <w:spacing w:line="360" w:lineRule="auto"/>
        <w:jc w:val="both"/>
        <w:rPr>
          <w:rFonts w:ascii="Times New Roman" w:hAnsi="Times New Roman" w:cs="Times New Roman"/>
          <w:i/>
          <w:color w:val="auto"/>
        </w:rPr>
      </w:pPr>
      <w:r>
        <w:rPr>
          <w:rFonts w:ascii="Times New Roman" w:hAnsi="Times New Roman" w:cs="Times New Roman"/>
          <w:i/>
          <w:color w:val="auto"/>
        </w:rPr>
        <w:t>CHAPTER 1: INTRODUCTION</w:t>
      </w:r>
    </w:p>
    <w:p w:rsidR="00E91236" w:rsidRDefault="00000000">
      <w:pPr>
        <w:pStyle w:val="Default"/>
        <w:spacing w:line="360" w:lineRule="auto"/>
        <w:jc w:val="both"/>
        <w:rPr>
          <w:rFonts w:ascii="Times New Roman" w:hAnsi="Times New Roman" w:cs="Times New Roman"/>
          <w:i/>
          <w:color w:val="auto"/>
        </w:rPr>
      </w:pPr>
      <w:r>
        <w:rPr>
          <w:rFonts w:ascii="Times New Roman" w:hAnsi="Times New Roman" w:cs="Times New Roman"/>
          <w:i/>
          <w:color w:val="auto"/>
        </w:rPr>
        <w:t xml:space="preserve">CHAPTER 2: LITERATURE REVIEW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Chapter Two will contain review of related literature by using theoretical framework and previous studies that present authenticity and establish credibility of this study. </w:t>
      </w:r>
    </w:p>
    <w:p w:rsidR="00E91236" w:rsidRDefault="00000000">
      <w:pPr>
        <w:pStyle w:val="Default"/>
        <w:spacing w:line="360" w:lineRule="auto"/>
        <w:jc w:val="both"/>
        <w:rPr>
          <w:rFonts w:ascii="Times New Roman" w:hAnsi="Times New Roman" w:cs="Times New Roman"/>
          <w:i/>
          <w:color w:val="auto"/>
        </w:rPr>
      </w:pPr>
      <w:r>
        <w:rPr>
          <w:rFonts w:ascii="Times New Roman" w:hAnsi="Times New Roman" w:cs="Times New Roman"/>
          <w:i/>
          <w:color w:val="auto"/>
        </w:rPr>
        <w:t xml:space="preserve">CHAPTER 3: RESEARCH DESIGN AND METHODOLOGY </w:t>
      </w:r>
    </w:p>
    <w:p w:rsidR="00E91236" w:rsidRDefault="009071A2">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 In c</w:t>
      </w:r>
      <w:r w:rsidR="00000000">
        <w:rPr>
          <w:rFonts w:ascii="Times New Roman" w:hAnsi="Times New Roman" w:cs="Times New Roman"/>
          <w:color w:val="auto"/>
        </w:rPr>
        <w:t>hapter</w:t>
      </w:r>
      <w:r>
        <w:rPr>
          <w:rFonts w:ascii="Times New Roman" w:hAnsi="Times New Roman" w:cs="Times New Roman"/>
          <w:color w:val="auto"/>
        </w:rPr>
        <w:t xml:space="preserve"> three,</w:t>
      </w:r>
      <w:r w:rsidR="00000000">
        <w:rPr>
          <w:rFonts w:ascii="Times New Roman" w:hAnsi="Times New Roman" w:cs="Times New Roman"/>
          <w:color w:val="auto"/>
        </w:rPr>
        <w:t xml:space="preserve"> explain the method of the study including the research design, </w:t>
      </w:r>
      <w:r w:rsidRPr="009071A2">
        <w:rPr>
          <w:rFonts w:ascii="Times New Roman" w:hAnsi="Times New Roman" w:cs="Times New Roman"/>
          <w:color w:val="auto"/>
        </w:rPr>
        <w:t>the study populace, the setting of the study, and the study period; the sampling strategy, number of samples, and criteria; data collection methods; analysis of data protocols; and moral issues</w:t>
      </w:r>
      <w:r w:rsidR="00000000">
        <w:rPr>
          <w:rFonts w:ascii="Times New Roman" w:hAnsi="Times New Roman" w:cs="Times New Roman"/>
          <w:color w:val="auto"/>
        </w:rPr>
        <w:t xml:space="preserve">. </w:t>
      </w:r>
    </w:p>
    <w:p w:rsidR="009071A2" w:rsidRDefault="009071A2">
      <w:pPr>
        <w:pStyle w:val="Default"/>
        <w:spacing w:line="360" w:lineRule="auto"/>
        <w:ind w:firstLine="720"/>
        <w:jc w:val="both"/>
        <w:rPr>
          <w:rFonts w:ascii="Times New Roman" w:hAnsi="Times New Roman" w:cs="Times New Roman"/>
          <w:color w:val="auto"/>
        </w:rPr>
      </w:pPr>
    </w:p>
    <w:p w:rsidR="00E91236" w:rsidRDefault="00000000">
      <w:pPr>
        <w:pStyle w:val="Default"/>
        <w:spacing w:line="360" w:lineRule="auto"/>
        <w:jc w:val="both"/>
        <w:rPr>
          <w:rFonts w:ascii="Times New Roman" w:hAnsi="Times New Roman" w:cs="Times New Roman"/>
          <w:color w:val="auto"/>
        </w:rPr>
      </w:pPr>
      <w:r>
        <w:rPr>
          <w:rFonts w:ascii="Times New Roman" w:hAnsi="Times New Roman" w:cs="Times New Roman"/>
          <w:i/>
          <w:color w:val="auto"/>
        </w:rPr>
        <w:lastRenderedPageBreak/>
        <w:t xml:space="preserve">CHAPTER 4: ANALYSIS AND FINDINGS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Chapter Four will be devoted for data analysis of the research that includes thematic analysis of quantitative data. </w:t>
      </w:r>
    </w:p>
    <w:p w:rsidR="00E91236" w:rsidRDefault="00000000">
      <w:pPr>
        <w:pStyle w:val="Default"/>
        <w:spacing w:line="360" w:lineRule="auto"/>
        <w:jc w:val="both"/>
        <w:rPr>
          <w:rFonts w:ascii="Times New Roman" w:hAnsi="Times New Roman" w:cs="Times New Roman"/>
          <w:i/>
          <w:color w:val="auto"/>
        </w:rPr>
      </w:pPr>
      <w:r>
        <w:rPr>
          <w:rFonts w:ascii="Times New Roman" w:hAnsi="Times New Roman" w:cs="Times New Roman"/>
          <w:i/>
          <w:color w:val="auto"/>
        </w:rPr>
        <w:t xml:space="preserve">CHAPTER 5: DISCUSSION AND CONCLUSION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In chapter five findings from the quantitative research will be put into context and corroborated against existing literature. Moreover, the findings will be utilized to elucidate recommendations and conclusions regarding the research results. </w:t>
      </w:r>
    </w:p>
    <w:p w:rsidR="00E91236" w:rsidRDefault="00000000">
      <w:pPr>
        <w:pStyle w:val="Heading3"/>
        <w:rPr>
          <w:rFonts w:cs="Times New Roman"/>
        </w:rPr>
      </w:pPr>
      <w:r>
        <w:rPr>
          <w:rFonts w:cs="Times New Roman"/>
        </w:rPr>
        <w:t xml:space="preserve">1.9. SUMMARY </w:t>
      </w:r>
    </w:p>
    <w:p w:rsidR="00E91236" w:rsidRDefault="00000000">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This </w:t>
      </w:r>
      <w:r w:rsidR="009071A2">
        <w:rPr>
          <w:rFonts w:ascii="Times New Roman" w:hAnsi="Times New Roman" w:cs="Times New Roman"/>
          <w:color w:val="auto"/>
        </w:rPr>
        <w:t>research</w:t>
      </w:r>
      <w:r>
        <w:rPr>
          <w:rFonts w:ascii="Times New Roman" w:hAnsi="Times New Roman" w:cs="Times New Roman"/>
          <w:color w:val="auto"/>
        </w:rPr>
        <w:t xml:space="preserve"> objective is to evaluate the mediating effects of healthcare technology on improving OPD services and facilities, thereby leading towards improved health care quality in Southern zone of Saudi Arabia. These effects can be utilized to devise a framework for development of this technology across hospitals, with the end goal being improvement in patient experience and patient satisfaction, thereby incentivizing public attraction towards technologically advanced outpatient healthcare facilities. </w:t>
      </w:r>
    </w:p>
    <w:p w:rsidR="00E91236" w:rsidRDefault="00000000">
      <w:pPr>
        <w:jc w:val="left"/>
        <w:rPr>
          <w:rFonts w:cs="Times New Roman"/>
          <w:szCs w:val="24"/>
          <w:lang w:val="en-US"/>
        </w:rPr>
      </w:pPr>
      <w:r>
        <w:rPr>
          <w:rFonts w:cs="Times New Roman"/>
        </w:rPr>
        <w:br w:type="page"/>
      </w:r>
    </w:p>
    <w:p w:rsidR="00E91236" w:rsidRDefault="00000000">
      <w:pPr>
        <w:pStyle w:val="Heading1"/>
        <w:jc w:val="center"/>
        <w:rPr>
          <w:rFonts w:cs="Times New Roman"/>
          <w:sz w:val="28"/>
        </w:rPr>
      </w:pPr>
      <w:r>
        <w:rPr>
          <w:rFonts w:cs="Times New Roman"/>
        </w:rPr>
        <w:lastRenderedPageBreak/>
        <w:t>CHAPTER 2</w:t>
      </w:r>
    </w:p>
    <w:p w:rsidR="00E91236" w:rsidRDefault="00000000">
      <w:pPr>
        <w:pStyle w:val="Heading1"/>
        <w:jc w:val="center"/>
      </w:pPr>
      <w:r>
        <w:t>LITERATURE REVIEW</w:t>
      </w:r>
    </w:p>
    <w:p w:rsidR="00E91236" w:rsidRDefault="00000000">
      <w:pPr>
        <w:pStyle w:val="Heading3"/>
        <w:rPr>
          <w:rFonts w:cs="Times New Roman"/>
        </w:rPr>
      </w:pPr>
      <w:r>
        <w:rPr>
          <w:rFonts w:cs="Times New Roman"/>
        </w:rPr>
        <w:t>2.1. INTRODUCTION</w:t>
      </w:r>
    </w:p>
    <w:p w:rsidR="00E91236" w:rsidRDefault="00000000" w:rsidP="00DE2FCE">
      <w:pPr>
        <w:ind w:firstLine="720"/>
        <w:rPr>
          <w:rFonts w:cs="Times New Roman"/>
        </w:rPr>
      </w:pPr>
      <w:r>
        <w:rPr>
          <w:rFonts w:cs="Times New Roman"/>
        </w:rPr>
        <w:t>This</w:t>
      </w:r>
      <w:r w:rsidR="008C24FF">
        <w:rPr>
          <w:rFonts w:cs="Times New Roman"/>
        </w:rPr>
        <w:t xml:space="preserve"> current</w:t>
      </w:r>
      <w:r>
        <w:rPr>
          <w:rFonts w:cs="Times New Roman"/>
        </w:rPr>
        <w:t xml:space="preserve"> chapter</w:t>
      </w:r>
      <w:r w:rsidR="00CC29F0">
        <w:rPr>
          <w:rFonts w:cs="Times New Roman"/>
        </w:rPr>
        <w:t xml:space="preserve"> aims</w:t>
      </w:r>
      <w:r>
        <w:rPr>
          <w:rFonts w:cs="Times New Roman"/>
        </w:rPr>
        <w:t xml:space="preserve"> current literature regarding health information technology (HIT) and its role in improving efficiency of healthcare services. It </w:t>
      </w:r>
      <w:r w:rsidR="00CC29F0">
        <w:rPr>
          <w:rFonts w:cs="Times New Roman"/>
        </w:rPr>
        <w:t>starts</w:t>
      </w:r>
      <w:r>
        <w:rPr>
          <w:rFonts w:cs="Times New Roman"/>
        </w:rPr>
        <w:t xml:space="preserve"> with a review of modern aspects of patient care, and how patient-</w:t>
      </w:r>
      <w:proofErr w:type="spellStart"/>
      <w:r>
        <w:rPr>
          <w:rFonts w:cs="Times New Roman"/>
        </w:rPr>
        <w:t>centered</w:t>
      </w:r>
      <w:proofErr w:type="spellEnd"/>
      <w:r>
        <w:rPr>
          <w:rFonts w:cs="Times New Roman"/>
        </w:rPr>
        <w:t xml:space="preserve"> care influences various metrics of patient’s experience and satisfaction. It then discusses how in the light of prior literature, patient satisfaction as a derivative of healthcare quality can be improved by efficient healthcare services which rely on HIT. On the basis of these findings, it builds the conceptual framework and hypothesis, which will be tested using real-time patient data.</w:t>
      </w:r>
    </w:p>
    <w:p w:rsidR="00E91236" w:rsidRDefault="00000000">
      <w:pPr>
        <w:pStyle w:val="Heading3"/>
        <w:rPr>
          <w:rFonts w:cs="Times New Roman"/>
        </w:rPr>
      </w:pPr>
      <w:r>
        <w:rPr>
          <w:rFonts w:cs="Times New Roman"/>
        </w:rPr>
        <w:t xml:space="preserve">2.2. OVERVIEW OF PATIENT-CENTERED CARE </w:t>
      </w:r>
    </w:p>
    <w:p w:rsidR="00E91236" w:rsidRDefault="00000000">
      <w:pPr>
        <w:pStyle w:val="Heading4"/>
        <w:rPr>
          <w:rFonts w:cs="Times New Roman"/>
        </w:rPr>
      </w:pPr>
      <w:r>
        <w:rPr>
          <w:rFonts w:cs="Times New Roman"/>
        </w:rPr>
        <w:t>2.2.1. Definition of Patient-</w:t>
      </w:r>
      <w:proofErr w:type="spellStart"/>
      <w:r>
        <w:rPr>
          <w:rFonts w:cs="Times New Roman"/>
        </w:rPr>
        <w:t>Centered</w:t>
      </w:r>
      <w:proofErr w:type="spellEnd"/>
      <w:r>
        <w:rPr>
          <w:rFonts w:cs="Times New Roman"/>
        </w:rPr>
        <w:t xml:space="preserve"> Care</w:t>
      </w:r>
    </w:p>
    <w:p w:rsidR="00E91236" w:rsidRDefault="00000000" w:rsidP="00DE2FCE">
      <w:pPr>
        <w:ind w:firstLine="720"/>
        <w:rPr>
          <w:rFonts w:cs="Times New Roman"/>
        </w:rPr>
      </w:pPr>
      <w:r>
        <w:rPr>
          <w:rFonts w:cs="Times New Roman"/>
        </w:rPr>
        <w:t>Patient-</w:t>
      </w:r>
      <w:proofErr w:type="spellStart"/>
      <w:r>
        <w:rPr>
          <w:rFonts w:cs="Times New Roman"/>
        </w:rPr>
        <w:t>centered</w:t>
      </w:r>
      <w:proofErr w:type="spellEnd"/>
      <w:r>
        <w:rPr>
          <w:rFonts w:cs="Times New Roman"/>
        </w:rPr>
        <w:t xml:space="preserve"> care (PCC) is a diverse term, covering many facets of patient care. It has been recognized that the best way to determine patient centeredness is via an assessment made by the patients themselves (Stewart, 2001). According to Stewart (2001), patients require PCC which explores their reasons for visit, their concerns and need for information; considers patients not just as service users but as an integrated sum of their personal and emotional needs and issues; explores common grounds on diagnosis and management of disease with the patients; enhances prevention; and improves on the continual doctor-patient relationship. </w:t>
      </w:r>
    </w:p>
    <w:p w:rsidR="00E91236" w:rsidRDefault="00000000" w:rsidP="00DE2FCE">
      <w:pPr>
        <w:ind w:firstLine="720"/>
        <w:rPr>
          <w:rFonts w:cs="Times New Roman"/>
        </w:rPr>
      </w:pPr>
      <w:r>
        <w:rPr>
          <w:rFonts w:cs="Times New Roman"/>
        </w:rPr>
        <w:t>Kitson et al. (2019) conducted a review of literature to determine the core elements of PCC. According to them, patient participation and patient involvement, patient-healthcare professional (HCP) relationship, and area of care delivery are the core elements of PCC, all of which may have the same conceptual source. There are variations in how PCC is actually applied in clinical care since various providers prioritize different facets of these components (Kitson et al., 2019).</w:t>
      </w:r>
    </w:p>
    <w:p w:rsidR="00E91236" w:rsidRDefault="00000000">
      <w:pPr>
        <w:ind w:firstLine="720"/>
        <w:rPr>
          <w:rFonts w:cs="Times New Roman"/>
        </w:rPr>
      </w:pPr>
      <w:r>
        <w:rPr>
          <w:rFonts w:cs="Times New Roman"/>
        </w:rPr>
        <w:t>To achieve alignment between delivery of healthcare with patients’ preferences, needs and values, patient-</w:t>
      </w:r>
      <w:proofErr w:type="spellStart"/>
      <w:r>
        <w:rPr>
          <w:rFonts w:cs="Times New Roman"/>
        </w:rPr>
        <w:t>centered</w:t>
      </w:r>
      <w:proofErr w:type="spellEnd"/>
      <w:r>
        <w:rPr>
          <w:rFonts w:cs="Times New Roman"/>
        </w:rPr>
        <w:t xml:space="preserve"> care (PCC) focuses on </w:t>
      </w:r>
      <w:proofErr w:type="gramStart"/>
      <w:r>
        <w:rPr>
          <w:rFonts w:cs="Times New Roman"/>
        </w:rPr>
        <w:t>patients</w:t>
      </w:r>
      <w:proofErr w:type="gramEnd"/>
      <w:r>
        <w:rPr>
          <w:rFonts w:cs="Times New Roman"/>
        </w:rPr>
        <w:t xml:space="preserve"> engagement in their care. With these objectives this care approach is intended at promoting patient satisfaction and health by embracing full disclosure, patient centeredness and individualized therapies.</w:t>
      </w:r>
    </w:p>
    <w:p w:rsidR="00E91236" w:rsidRDefault="00000000">
      <w:pPr>
        <w:ind w:firstLine="720"/>
        <w:rPr>
          <w:rFonts w:cs="Times New Roman"/>
        </w:rPr>
      </w:pPr>
      <w:r>
        <w:rPr>
          <w:rFonts w:cs="Times New Roman"/>
        </w:rPr>
        <w:lastRenderedPageBreak/>
        <w:t>As defined by Al-</w:t>
      </w:r>
      <w:proofErr w:type="spellStart"/>
      <w:r>
        <w:rPr>
          <w:rFonts w:cs="Times New Roman"/>
        </w:rPr>
        <w:t>Refaie</w:t>
      </w:r>
      <w:proofErr w:type="spellEnd"/>
      <w:r>
        <w:rPr>
          <w:rFonts w:cs="Times New Roman"/>
        </w:rPr>
        <w:t xml:space="preserve"> and his collaborators in 2022, patient-</w:t>
      </w:r>
      <w:proofErr w:type="spellStart"/>
      <w:r>
        <w:rPr>
          <w:rFonts w:cs="Times New Roman"/>
        </w:rPr>
        <w:t>centered</w:t>
      </w:r>
      <w:proofErr w:type="spellEnd"/>
      <w:r>
        <w:rPr>
          <w:rFonts w:cs="Times New Roman"/>
        </w:rPr>
        <w:t xml:space="preserve"> care is a system where healthcare workers uphold the understanding of patient needs and concerns. In their study conducted in Saudi Arabia, the authors underscore the importance of effective interaction between patients and health care staff in order to implement PCC. </w:t>
      </w:r>
      <w:proofErr w:type="spellStart"/>
      <w:r>
        <w:rPr>
          <w:rFonts w:cs="Times New Roman"/>
        </w:rPr>
        <w:t>Self reported</w:t>
      </w:r>
      <w:proofErr w:type="spellEnd"/>
      <w:r>
        <w:rPr>
          <w:rFonts w:cs="Times New Roman"/>
        </w:rPr>
        <w:t xml:space="preserve"> Worries point out that Patient satisfaction with healthcare services increases several folds when their preferences are valued and their concerns are listened to. Al-</w:t>
      </w:r>
      <w:proofErr w:type="spellStart"/>
      <w:r>
        <w:rPr>
          <w:rFonts w:cs="Times New Roman"/>
        </w:rPr>
        <w:t>Refaie</w:t>
      </w:r>
      <w:proofErr w:type="spellEnd"/>
      <w:r>
        <w:rPr>
          <w:rFonts w:cs="Times New Roman"/>
        </w:rPr>
        <w:t xml:space="preserve"> et </w:t>
      </w:r>
      <w:proofErr w:type="gramStart"/>
      <w:r>
        <w:rPr>
          <w:rFonts w:cs="Times New Roman"/>
        </w:rPr>
        <w:t>al ,</w:t>
      </w:r>
      <w:proofErr w:type="gramEnd"/>
      <w:r>
        <w:rPr>
          <w:rFonts w:cs="Times New Roman"/>
        </w:rPr>
        <w:t xml:space="preserve"> assert that PCC not only raises the level of care but also enhances the patient clinician trust. which is useful as a way of making patients happy especially within outpatient categories.</w:t>
      </w:r>
    </w:p>
    <w:p w:rsidR="00E91236" w:rsidRDefault="00000000">
      <w:pPr>
        <w:ind w:firstLine="720"/>
        <w:rPr>
          <w:rFonts w:cs="Times New Roman"/>
        </w:rPr>
      </w:pPr>
      <w:r>
        <w:rPr>
          <w:rFonts w:cs="Times New Roman"/>
        </w:rPr>
        <w:t xml:space="preserve">From Greenhalgh et al. (2020), </w:t>
      </w:r>
      <w:r w:rsidR="00F10B81" w:rsidRPr="00F10B81">
        <w:rPr>
          <w:rFonts w:cs="Times New Roman"/>
        </w:rPr>
        <w:t xml:space="preserve">patient-focused </w:t>
      </w:r>
      <w:r>
        <w:rPr>
          <w:rFonts w:cs="Times New Roman"/>
        </w:rPr>
        <w:t>care is arguably most significant interventions that shifted from the disease-</w:t>
      </w:r>
      <w:proofErr w:type="spellStart"/>
      <w:r>
        <w:rPr>
          <w:rFonts w:cs="Times New Roman"/>
        </w:rPr>
        <w:t>centered</w:t>
      </w:r>
      <w:proofErr w:type="spellEnd"/>
      <w:r>
        <w:rPr>
          <w:rFonts w:cs="Times New Roman"/>
        </w:rPr>
        <w:t xml:space="preserve"> model by focusing on the totality of patient’s health experience. The authors assert that to build a PCC approach, the stakeholders of the healthcare system should involve patients in all aspects of care delivery, including assessment, planning, intervention, and monitoring. This means providing patient choices concerning their treatment, and ensuring that they empowered and participate appropriately in the decision-making </w:t>
      </w:r>
      <w:r w:rsidR="00F10B81" w:rsidRPr="00F10B81">
        <w:rPr>
          <w:rFonts w:cs="Times New Roman"/>
        </w:rPr>
        <w:t>procedure</w:t>
      </w:r>
      <w:r>
        <w:rPr>
          <w:rFonts w:cs="Times New Roman"/>
        </w:rPr>
        <w:t>. In the study, the results showed that patients are much happier and often have better health outcomes due to their active roles in their healthcare decision making because they are likely to adhere to regimens that are compatible with their values and beliefs.</w:t>
      </w:r>
    </w:p>
    <w:p w:rsidR="00E91236" w:rsidRDefault="00000000">
      <w:pPr>
        <w:ind w:firstLine="720"/>
        <w:rPr>
          <w:rFonts w:cs="Times New Roman"/>
        </w:rPr>
      </w:pPr>
      <w:r>
        <w:rPr>
          <w:rFonts w:cs="Times New Roman"/>
        </w:rPr>
        <w:t>Siddiqui et al. (2023) noted that improvement in patient care and experience follows increased advancements in patient care, especially in the outpatient settings. About PCC efforts aimed at changing the outpatient setting, they discuss that patient-</w:t>
      </w:r>
      <w:proofErr w:type="spellStart"/>
      <w:r>
        <w:rPr>
          <w:rFonts w:cs="Times New Roman"/>
        </w:rPr>
        <w:t>centered</w:t>
      </w:r>
      <w:proofErr w:type="spellEnd"/>
      <w:r>
        <w:rPr>
          <w:rFonts w:cs="Times New Roman"/>
        </w:rPr>
        <w:t xml:space="preserve"> care, individualised action plans, and communication, may transform the outpatient experience. The finding</w:t>
      </w:r>
      <w:r w:rsidR="00F10B81">
        <w:rPr>
          <w:rFonts w:cs="Times New Roman"/>
        </w:rPr>
        <w:t>s</w:t>
      </w:r>
      <w:r>
        <w:rPr>
          <w:rFonts w:cs="Times New Roman"/>
        </w:rPr>
        <w:t xml:space="preserve"> of the study </w:t>
      </w:r>
      <w:proofErr w:type="gramStart"/>
      <w:r>
        <w:rPr>
          <w:rFonts w:cs="Times New Roman"/>
        </w:rPr>
        <w:t>points</w:t>
      </w:r>
      <w:proofErr w:type="gramEnd"/>
      <w:r>
        <w:rPr>
          <w:rFonts w:cs="Times New Roman"/>
        </w:rPr>
        <w:t xml:space="preserve"> out that patients will be satisfied and engaged with the treatments being offered if they are convinced that the treatment plans given to them are personal to their case. Additionally, Siddiqui et al. reveal that physicians who have patient-</w:t>
      </w:r>
      <w:proofErr w:type="spellStart"/>
      <w:r>
        <w:rPr>
          <w:rFonts w:cs="Times New Roman"/>
        </w:rPr>
        <w:t>centered</w:t>
      </w:r>
      <w:proofErr w:type="spellEnd"/>
      <w:r>
        <w:rPr>
          <w:rFonts w:cs="Times New Roman"/>
        </w:rPr>
        <w:t xml:space="preserve"> orientation learn and gain better rapport to their patients, which leads to strong patient-physician trust and continued patient compliance </w:t>
      </w:r>
      <w:proofErr w:type="spellStart"/>
      <w:r>
        <w:rPr>
          <w:rFonts w:cs="Times New Roman"/>
        </w:rPr>
        <w:t>to p</w:t>
      </w:r>
      <w:proofErr w:type="spellEnd"/>
      <w:r>
        <w:rPr>
          <w:rFonts w:cs="Times New Roman"/>
        </w:rPr>
        <w:t>.</w:t>
      </w:r>
    </w:p>
    <w:p w:rsidR="00E91236" w:rsidRDefault="00000000">
      <w:pPr>
        <w:ind w:firstLine="720"/>
        <w:rPr>
          <w:rFonts w:cs="Times New Roman"/>
        </w:rPr>
      </w:pPr>
      <w:r>
        <w:rPr>
          <w:rFonts w:cs="Times New Roman"/>
        </w:rPr>
        <w:t>Bearing the above facts in mind, Berg (2019) claims that exploring the technological aspects of putting patient-</w:t>
      </w:r>
      <w:proofErr w:type="spellStart"/>
      <w:r>
        <w:rPr>
          <w:rFonts w:cs="Times New Roman"/>
        </w:rPr>
        <w:t>centered</w:t>
      </w:r>
      <w:proofErr w:type="spellEnd"/>
      <w:r>
        <w:rPr>
          <w:rFonts w:cs="Times New Roman"/>
        </w:rPr>
        <w:t xml:space="preserve"> care into practice, the computer-supported digital health tools may assist PCC by allowing the patients to be able to access their client records and engage in more engaging interactions with the different health workers. In the patient care process, patient </w:t>
      </w:r>
      <w:r>
        <w:rPr>
          <w:rFonts w:cs="Times New Roman"/>
        </w:rPr>
        <w:lastRenderedPageBreak/>
        <w:t xml:space="preserve">engagement or self-management tools such as patient portals, telemedicine and EHR must be adopted according to Berg to grant patients more power and involve them in decision making process. As a matter of fact, this level of engagement is core to PCC model because it ensures that health care is delivered in a personalized way and with the patient’s permission. Lastly, the study concludes that technology becomes useful when employed appropriately in enhancing patient </w:t>
      </w:r>
      <w:proofErr w:type="spellStart"/>
      <w:r>
        <w:rPr>
          <w:rFonts w:cs="Times New Roman"/>
        </w:rPr>
        <w:t>centered</w:t>
      </w:r>
      <w:proofErr w:type="spellEnd"/>
      <w:r>
        <w:rPr>
          <w:rFonts w:cs="Times New Roman"/>
        </w:rPr>
        <w:t xml:space="preserve"> care delivery because helps in timely individualized care as well as assisting patients express their choices.</w:t>
      </w:r>
    </w:p>
    <w:p w:rsidR="00E91236" w:rsidRDefault="00000000">
      <w:pPr>
        <w:ind w:firstLine="720"/>
        <w:rPr>
          <w:rFonts w:cs="Times New Roman"/>
        </w:rPr>
      </w:pPr>
      <w:r>
        <w:rPr>
          <w:rFonts w:cs="Times New Roman"/>
        </w:rPr>
        <w:t>Building on this subject, Neves et al, (2021) discusses how patient centred treatment enhances patient satisfaction and engagement. They argue that PCC involves developing a medical environment that fosters patient confidence and promoting as well as acknowledging patients’ individuality. In their studies, patients reported that contrary to what they wanted was the doctors who struggled to understand the patients’ personal health conditions and condescend courtesy to them. The study shows that patient-</w:t>
      </w:r>
      <w:proofErr w:type="spellStart"/>
      <w:r>
        <w:rPr>
          <w:rFonts w:cs="Times New Roman"/>
        </w:rPr>
        <w:t>centered</w:t>
      </w:r>
      <w:proofErr w:type="spellEnd"/>
      <w:r>
        <w:rPr>
          <w:rFonts w:cs="Times New Roman"/>
        </w:rPr>
        <w:t xml:space="preserve"> approach is particularly useful in outpatient settings because patients frequently deal with healthcare professionals less frequently and must feel that their concerns and time are respected at every opportunity.</w:t>
      </w:r>
    </w:p>
    <w:p w:rsidR="00E91236" w:rsidRDefault="00000000">
      <w:pPr>
        <w:pStyle w:val="Heading4"/>
        <w:rPr>
          <w:rFonts w:cs="Times New Roman"/>
        </w:rPr>
      </w:pPr>
      <w:r>
        <w:rPr>
          <w:rFonts w:cs="Times New Roman"/>
        </w:rPr>
        <w:t>2.2.2 Patient-</w:t>
      </w:r>
      <w:proofErr w:type="spellStart"/>
      <w:r>
        <w:rPr>
          <w:rFonts w:cs="Times New Roman"/>
        </w:rPr>
        <w:t>Centered</w:t>
      </w:r>
      <w:proofErr w:type="spellEnd"/>
      <w:r>
        <w:rPr>
          <w:rFonts w:cs="Times New Roman"/>
        </w:rPr>
        <w:t xml:space="preserve"> Care in Clinical Practice</w:t>
      </w:r>
    </w:p>
    <w:p w:rsidR="00E91236" w:rsidRDefault="00000000" w:rsidP="00DE2FCE">
      <w:pPr>
        <w:ind w:firstLine="720"/>
        <w:rPr>
          <w:rFonts w:cs="Times New Roman"/>
        </w:rPr>
      </w:pPr>
      <w:r>
        <w:rPr>
          <w:rFonts w:cs="Times New Roman"/>
        </w:rPr>
        <w:t xml:space="preserve">PCC promotes holistic care which aligned with individual patient’s values, cultural backgrounds, and requests, with the goal of empowering patients in their treatment process (El-Alti, Sandman, &amp; Munthe, 2019). PCC not only results in </w:t>
      </w:r>
      <w:proofErr w:type="spellStart"/>
      <w:r>
        <w:rPr>
          <w:rFonts w:cs="Times New Roman"/>
        </w:rPr>
        <w:t>favorable</w:t>
      </w:r>
      <w:proofErr w:type="spellEnd"/>
      <w:r>
        <w:rPr>
          <w:rFonts w:cs="Times New Roman"/>
        </w:rPr>
        <w:t xml:space="preserve"> economic and clinical outcomes, but also in improved patient </w:t>
      </w:r>
      <w:r w:rsidR="0020432E">
        <w:rPr>
          <w:rFonts w:cs="Times New Roman"/>
        </w:rPr>
        <w:t>comfort</w:t>
      </w:r>
      <w:r>
        <w:rPr>
          <w:rFonts w:cs="Times New Roman"/>
        </w:rPr>
        <w:t xml:space="preserve">, </w:t>
      </w:r>
      <w:r w:rsidR="0020432E">
        <w:rPr>
          <w:rFonts w:cs="Times New Roman"/>
        </w:rPr>
        <w:t>life quality</w:t>
      </w:r>
      <w:r>
        <w:rPr>
          <w:rFonts w:cs="Times New Roman"/>
        </w:rPr>
        <w:t>, and self-management approach (Delaney, 2018; Pirhonen et al., 2019; Lor, Crooks, &amp; Tluczek, 2016).</w:t>
      </w:r>
    </w:p>
    <w:p w:rsidR="00E91236" w:rsidRDefault="0020432E" w:rsidP="00DE2FCE">
      <w:pPr>
        <w:ind w:firstLine="720"/>
        <w:rPr>
          <w:rFonts w:cs="Times New Roman"/>
        </w:rPr>
      </w:pPr>
      <w:r>
        <w:rPr>
          <w:rFonts w:cs="Times New Roman"/>
        </w:rPr>
        <w:t>R</w:t>
      </w:r>
      <w:r w:rsidR="00CC29F0">
        <w:rPr>
          <w:rFonts w:cs="Times New Roman"/>
        </w:rPr>
        <w:t>esearches</w:t>
      </w:r>
      <w:r w:rsidR="00000000">
        <w:rPr>
          <w:rFonts w:cs="Times New Roman"/>
        </w:rPr>
        <w:t xml:space="preserve"> have been conducted to determine the predictors of PCC provision in clinical care settings. Some precursors for PCC which have been identified include organizational </w:t>
      </w:r>
      <w:proofErr w:type="gramStart"/>
      <w:r w:rsidR="00000000">
        <w:rPr>
          <w:rFonts w:cs="Times New Roman"/>
        </w:rPr>
        <w:t>support  of</w:t>
      </w:r>
      <w:proofErr w:type="gramEnd"/>
      <w:r w:rsidR="00000000">
        <w:rPr>
          <w:rFonts w:cs="Times New Roman"/>
        </w:rPr>
        <w:t xml:space="preserve"> HCPs (Luxford, Safran, &amp; Delbanco, 2011), musculoskeletal disorders, work culture and environment (Sharp, </w:t>
      </w:r>
      <w:proofErr w:type="spellStart"/>
      <w:r w:rsidR="00000000">
        <w:rPr>
          <w:rFonts w:cs="Times New Roman"/>
        </w:rPr>
        <w:t>Mcallister</w:t>
      </w:r>
      <w:proofErr w:type="spellEnd"/>
      <w:r w:rsidR="00000000">
        <w:rPr>
          <w:rFonts w:cs="Times New Roman"/>
        </w:rPr>
        <w:t xml:space="preserve">, &amp; Broadbent, 2018) and shared decision making (Håkansson et al., 2019). Research conducted among acute care nurses in Saudi Arabia showed that burnout care, compassion satisfaction and structural </w:t>
      </w:r>
      <w:proofErr w:type="spellStart"/>
      <w:r w:rsidR="00000000">
        <w:rPr>
          <w:rFonts w:cs="Times New Roman"/>
        </w:rPr>
        <w:t>empowement</w:t>
      </w:r>
      <w:proofErr w:type="spellEnd"/>
      <w:r w:rsidR="00000000">
        <w:rPr>
          <w:rFonts w:cs="Times New Roman"/>
        </w:rPr>
        <w:t xml:space="preserve"> have significant positive correlation with enhanced PCC provision. In other places low burnout has also been liked to good PCC (Hower et al., 2019).</w:t>
      </w:r>
    </w:p>
    <w:p w:rsidR="00E91236" w:rsidRDefault="00000000" w:rsidP="00DE2FCE">
      <w:pPr>
        <w:ind w:firstLine="720"/>
        <w:rPr>
          <w:rFonts w:cs="Times New Roman"/>
        </w:rPr>
      </w:pPr>
      <w:r>
        <w:rPr>
          <w:rFonts w:cs="Times New Roman"/>
        </w:rPr>
        <w:lastRenderedPageBreak/>
        <w:t>In the practice setting, Understanding Patient-</w:t>
      </w:r>
      <w:proofErr w:type="spellStart"/>
      <w:r>
        <w:rPr>
          <w:rFonts w:cs="Times New Roman"/>
        </w:rPr>
        <w:t>Centered</w:t>
      </w:r>
      <w:proofErr w:type="spellEnd"/>
      <w:r>
        <w:rPr>
          <w:rFonts w:cs="Times New Roman"/>
        </w:rPr>
        <w:t xml:space="preserve"> Care (PCC) is an administrative and clinical model that gives priority to the consideration of patient need, values and preferences in all aspects of patient care management. This strategy ensures that apart from being effective clinically, treatment is patients </w:t>
      </w:r>
      <w:proofErr w:type="spellStart"/>
      <w:r>
        <w:rPr>
          <w:rFonts w:cs="Times New Roman"/>
        </w:rPr>
        <w:t>centered</w:t>
      </w:r>
      <w:proofErr w:type="spellEnd"/>
      <w:r>
        <w:rPr>
          <w:rFonts w:cs="Times New Roman"/>
        </w:rPr>
        <w:t xml:space="preserve"> and patients get the support they need throughout the process. Introducing the model that embraces an individual-centred and integrated model of care delivery, PCC has become an essential paradigm of present-day health care systems, the major aim of which is optimisation </w:t>
      </w:r>
      <w:proofErr w:type="spellStart"/>
      <w:r>
        <w:rPr>
          <w:rFonts w:cs="Times New Roman"/>
        </w:rPr>
        <w:t>ofpatient</w:t>
      </w:r>
      <w:proofErr w:type="spellEnd"/>
      <w:r>
        <w:rPr>
          <w:rFonts w:cs="Times New Roman"/>
        </w:rPr>
        <w:t xml:space="preserve"> outcomes and satisfaction.</w:t>
      </w:r>
    </w:p>
    <w:p w:rsidR="00E91236" w:rsidRDefault="00000000" w:rsidP="00DE2FCE">
      <w:pPr>
        <w:ind w:firstLine="720"/>
        <w:rPr>
          <w:rFonts w:cs="Times New Roman"/>
        </w:rPr>
      </w:pPr>
      <w:r>
        <w:rPr>
          <w:rFonts w:cs="Times New Roman"/>
          <w:lang w:val="en-US"/>
        </w:rPr>
        <w:t>Al-</w:t>
      </w:r>
      <w:proofErr w:type="spellStart"/>
      <w:r>
        <w:rPr>
          <w:rFonts w:cs="Times New Roman"/>
          <w:lang w:val="en-US"/>
        </w:rPr>
        <w:t>Refaie</w:t>
      </w:r>
      <w:proofErr w:type="spellEnd"/>
      <w:r>
        <w:rPr>
          <w:rFonts w:cs="Times New Roman"/>
          <w:lang w:val="en-US"/>
        </w:rPr>
        <w:t xml:space="preserve"> et al. (2022) discuss </w:t>
      </w:r>
      <w:r w:rsidR="00CC29F0">
        <w:rPr>
          <w:rFonts w:cs="Times New Roman"/>
          <w:lang w:val="en-US"/>
        </w:rPr>
        <w:t>p</w:t>
      </w:r>
      <w:r w:rsidR="00CC29F0" w:rsidRPr="00CC29F0">
        <w:rPr>
          <w:rFonts w:cs="Times New Roman"/>
          <w:lang w:val="en-US"/>
        </w:rPr>
        <w:t>atient-centered care</w:t>
      </w:r>
      <w:r w:rsidR="00CC29F0">
        <w:rPr>
          <w:rFonts w:cs="Times New Roman"/>
          <w:lang w:val="en-US"/>
        </w:rPr>
        <w:t xml:space="preserve"> (PPC)</w:t>
      </w:r>
      <w:r w:rsidR="00CC29F0" w:rsidRPr="00CC29F0">
        <w:rPr>
          <w:rFonts w:cs="Times New Roman"/>
          <w:lang w:val="en-US"/>
        </w:rPr>
        <w:t xml:space="preserve"> implementation</w:t>
      </w:r>
      <w:r>
        <w:rPr>
          <w:rFonts w:cs="Times New Roman"/>
          <w:lang w:val="en-US"/>
        </w:rPr>
        <w:t xml:space="preserve"> in clinical practice within Saudi Arabian outpatient settings. In their study, they found that the therapeutic process improves when medical personnel focus their attention to the cultural, affective, and informative needs of clients. If clinical teams want to build trust with patients, they should consider encouraging openness and treating one another with professional courtesy. This enhances patient satisfaction while at the same time enhancing the quality of the services being offered. The study </w:t>
      </w:r>
      <w:proofErr w:type="spellStart"/>
      <w:r>
        <w:rPr>
          <w:rFonts w:cs="Times New Roman"/>
          <w:lang w:val="en-US"/>
        </w:rPr>
        <w:t>emphasises</w:t>
      </w:r>
      <w:proofErr w:type="spellEnd"/>
      <w:r>
        <w:rPr>
          <w:rFonts w:cs="Times New Roman"/>
          <w:lang w:val="en-US"/>
        </w:rPr>
        <w:t xml:space="preserve"> that concerning the clinical practice, PCC is not only about offering medical care but also about acknowledging patients’ additional psychosocial needs and ensuring they are not feeling lonely and unheard during the process. In their study, Al-</w:t>
      </w:r>
      <w:proofErr w:type="spellStart"/>
      <w:r>
        <w:rPr>
          <w:rFonts w:cs="Times New Roman"/>
          <w:lang w:val="en-US"/>
        </w:rPr>
        <w:t>Refaie</w:t>
      </w:r>
      <w:proofErr w:type="spellEnd"/>
      <w:r>
        <w:rPr>
          <w:rFonts w:cs="Times New Roman"/>
          <w:lang w:val="en-US"/>
        </w:rPr>
        <w:t xml:space="preserve"> et al. acknowledge that employing patient involvement and treatment compliance approaches in clinical practice can enhance client engagement and thus promote efficient and sustainable health outcomes.</w:t>
      </w:r>
    </w:p>
    <w:p w:rsidR="00E91236" w:rsidRDefault="00000000" w:rsidP="00DE2FCE">
      <w:pPr>
        <w:ind w:firstLine="720"/>
        <w:rPr>
          <w:rFonts w:cs="Times New Roman"/>
        </w:rPr>
      </w:pPr>
      <w:r>
        <w:rPr>
          <w:rFonts w:cs="Times New Roman"/>
          <w:lang w:val="en-US"/>
        </w:rPr>
        <w:t xml:space="preserve">Another aspect about patient-centered care in the clinical practice discussed by Greenhalgh et al. (2020) is that it requires a shift from the traditional provider-dominated models with patients as passive spectators to more engaging and reciprocal views. The authors of this study show that significant organizational changes are required for the implementation of PCC in clinical practice, such as enhancing knowledge of healthcare workers in shared decision-making processes, patient engagement strategies, and communication methods. According to Greenhalgh et al., there are communication patterns that can help doctors enhance compliance and satisfaction: engaging patients in decisions and letting them make choices. This is particularly relevant to clinical practice because it entails a more individualized treatment approach that aligns with patient values and </w:t>
      </w:r>
      <w:proofErr w:type="gramStart"/>
      <w:r>
        <w:rPr>
          <w:rFonts w:cs="Times New Roman"/>
          <w:lang w:val="en-US"/>
        </w:rPr>
        <w:t>goal.</w:t>
      </w:r>
      <w:r>
        <w:rPr>
          <w:rFonts w:cs="Times New Roman"/>
        </w:rPr>
        <w:t>.</w:t>
      </w:r>
      <w:proofErr w:type="gramEnd"/>
    </w:p>
    <w:p w:rsidR="00E91236" w:rsidRDefault="00000000" w:rsidP="00DE2FCE">
      <w:pPr>
        <w:ind w:firstLine="720"/>
        <w:rPr>
          <w:rFonts w:cs="Times New Roman"/>
        </w:rPr>
      </w:pPr>
      <w:r>
        <w:rPr>
          <w:rFonts w:cs="Times New Roman"/>
        </w:rPr>
        <w:t>Berg (2019) has emphasized on how technology may be utilized into patient-</w:t>
      </w:r>
      <w:proofErr w:type="spellStart"/>
      <w:r>
        <w:rPr>
          <w:rFonts w:cs="Times New Roman"/>
        </w:rPr>
        <w:t>centered</w:t>
      </w:r>
      <w:proofErr w:type="spellEnd"/>
      <w:r>
        <w:rPr>
          <w:rFonts w:cs="Times New Roman"/>
        </w:rPr>
        <w:t xml:space="preserve"> care, arguing that patient </w:t>
      </w:r>
      <w:proofErr w:type="spellStart"/>
      <w:r>
        <w:rPr>
          <w:rFonts w:cs="Times New Roman"/>
        </w:rPr>
        <w:t>centered</w:t>
      </w:r>
      <w:proofErr w:type="spellEnd"/>
      <w:r>
        <w:rPr>
          <w:rFonts w:cs="Times New Roman"/>
        </w:rPr>
        <w:t xml:space="preserve"> practices in clinical organizations are fostered by digital health </w:t>
      </w:r>
      <w:r>
        <w:rPr>
          <w:rFonts w:cs="Times New Roman"/>
        </w:rPr>
        <w:lastRenderedPageBreak/>
        <w:t>technologies such as patient interfaces and Electronic Health Records. In his study, Berg noted that EHRs facilitate and enhance communication between patients and physicians, alongside ensuring that patient preferences and their medical histories are documented and taken into consideration in decision-making processes in treatment. Effective patient portals also allow people to get educated and empowered so they can make decisions about their health care by giving them access to their own data. Hence, this information access promotes transparency and trust during the delivery of patient-</w:t>
      </w:r>
      <w:proofErr w:type="spellStart"/>
      <w:r>
        <w:rPr>
          <w:rFonts w:cs="Times New Roman"/>
        </w:rPr>
        <w:t>centered</w:t>
      </w:r>
      <w:proofErr w:type="spellEnd"/>
      <w:r>
        <w:rPr>
          <w:rFonts w:cs="Times New Roman"/>
        </w:rPr>
        <w:t xml:space="preserve"> care in clinical practice. Regarding this issue, Berg has it that clinical teams can deliver better timely, individualized, culturally acceptable care for every patient as appreciated and valued.</w:t>
      </w:r>
    </w:p>
    <w:p w:rsidR="00E91236" w:rsidRDefault="00000000" w:rsidP="00DE2FCE">
      <w:pPr>
        <w:ind w:firstLine="720"/>
        <w:rPr>
          <w:rFonts w:cs="Times New Roman"/>
        </w:rPr>
      </w:pPr>
      <w:r>
        <w:rPr>
          <w:rFonts w:cs="Times New Roman"/>
        </w:rPr>
        <w:t>Neves et al. (2021) build on the evaluation of patient-</w:t>
      </w:r>
      <w:proofErr w:type="spellStart"/>
      <w:r>
        <w:rPr>
          <w:rFonts w:cs="Times New Roman"/>
        </w:rPr>
        <w:t>centered</w:t>
      </w:r>
      <w:proofErr w:type="spellEnd"/>
      <w:r>
        <w:rPr>
          <w:rFonts w:cs="Times New Roman"/>
        </w:rPr>
        <w:t xml:space="preserve"> care in clinical practice, particularly in outpatient settings wherein patient-</w:t>
      </w:r>
      <w:proofErr w:type="spellStart"/>
      <w:r>
        <w:rPr>
          <w:rFonts w:cs="Times New Roman"/>
        </w:rPr>
        <w:t>centered</w:t>
      </w:r>
      <w:proofErr w:type="spellEnd"/>
      <w:r>
        <w:rPr>
          <w:rFonts w:cs="Times New Roman"/>
        </w:rPr>
        <w:t xml:space="preserve"> care is predominantly employed. Their studies show that for PCC to take root, it needs the support of a patient-</w:t>
      </w:r>
      <w:proofErr w:type="spellStart"/>
      <w:r>
        <w:rPr>
          <w:rFonts w:cs="Times New Roman"/>
        </w:rPr>
        <w:t>centered</w:t>
      </w:r>
      <w:proofErr w:type="spellEnd"/>
      <w:r>
        <w:rPr>
          <w:rFonts w:cs="Times New Roman"/>
        </w:rPr>
        <w:t xml:space="preserve"> culture that translates to practices across multiple care tiers which is not strictly communicated and technological. They also found that patients assigned higher levels on the perceived involvement and satisfaction questionnaires when they felt that the care was presented as per their need and needs alone. In the views of Neves et al., it is stressed that clinical procedures need to focus on creating a climate in which the patients feel comfortable to express their preferences and their concerns. Discussed communication methods, shared decision and ensuring that clinical judgments made mirror patient’s values and goals can assist in attaining this. Individual patient approach in clinical practice puts emphasis on recognition of the patient as a human being with psychological and physical aspects, which differs from focusing solely on the clinical aspects of the patient’s condition.</w:t>
      </w:r>
    </w:p>
    <w:p w:rsidR="00E91236" w:rsidRDefault="00000000" w:rsidP="00DE2FCE">
      <w:pPr>
        <w:ind w:firstLine="720"/>
        <w:rPr>
          <w:rFonts w:cs="Times New Roman"/>
        </w:rPr>
      </w:pPr>
      <w:r>
        <w:rPr>
          <w:rFonts w:cs="Times New Roman"/>
          <w:lang w:val="en-US"/>
        </w:rPr>
        <w:t xml:space="preserve">Gaining further data about patient-centered care in practice while focusing on the outpatient clinic improvement approaches, Siddiqui and colleagues (2023) provide more details. They argue that ensuring that patient feedback is incorporated into practice systematically, the application of continuous improvement technologies in clinical environments would raise the level of patient focused care. The evaluation and subsequent alteration </w:t>
      </w:r>
      <w:proofErr w:type="gramStart"/>
      <w:r>
        <w:rPr>
          <w:rFonts w:cs="Times New Roman"/>
          <w:lang w:val="en-US"/>
        </w:rPr>
        <w:t>allows</w:t>
      </w:r>
      <w:proofErr w:type="gramEnd"/>
      <w:r>
        <w:rPr>
          <w:rFonts w:cs="Times New Roman"/>
          <w:lang w:val="en-US"/>
        </w:rPr>
        <w:t xml:space="preserve"> healthcare professionals to enhance particular aspects of treatment, and the approaches used, according to patients’ needs. Siddiqui et al. define patient-centered care as a progressive approach that requires constant effort on the part of clinicians if they are to improve patient satisfaction. Their studies focus on </w:t>
      </w:r>
      <w:r>
        <w:rPr>
          <w:rFonts w:cs="Times New Roman"/>
          <w:lang w:val="en-US"/>
        </w:rPr>
        <w:lastRenderedPageBreak/>
        <w:t>meaningful interactions between a patient and an organizer while evidencing the effectiveness of patients’ feedback use coupled with communication skills training.</w:t>
      </w:r>
    </w:p>
    <w:p w:rsidR="00E91236" w:rsidRDefault="00000000" w:rsidP="00DE2FCE">
      <w:pPr>
        <w:ind w:firstLine="720"/>
        <w:rPr>
          <w:rFonts w:cs="Times New Roman"/>
        </w:rPr>
      </w:pPr>
      <w:r>
        <w:rPr>
          <w:rFonts w:cs="Times New Roman"/>
          <w:lang w:val="en-US"/>
        </w:rPr>
        <w:t xml:space="preserve">Furthermore, Heinemann et al. pointed out some challenges of offering PCC in </w:t>
      </w:r>
      <w:r w:rsidR="00CC29F0">
        <w:rPr>
          <w:rFonts w:cs="Times New Roman"/>
          <w:lang w:val="en-US"/>
        </w:rPr>
        <w:t xml:space="preserve">the </w:t>
      </w:r>
      <w:r>
        <w:rPr>
          <w:rFonts w:cs="Times New Roman"/>
          <w:lang w:val="en-US"/>
        </w:rPr>
        <w:t>clinical care context as follows: In Saudi Arabia</w:t>
      </w:r>
      <w:r w:rsidR="00CC29F0">
        <w:rPr>
          <w:rFonts w:cs="Times New Roman"/>
          <w:lang w:val="en-US"/>
        </w:rPr>
        <w:t>,</w:t>
      </w:r>
      <w:r>
        <w:rPr>
          <w:rFonts w:cs="Times New Roman"/>
          <w:lang w:val="en-US"/>
        </w:rPr>
        <w:t xml:space="preserve"> it was identified, through systematic review, that there </w:t>
      </w:r>
      <w:proofErr w:type="gramStart"/>
      <w:r>
        <w:rPr>
          <w:rFonts w:cs="Times New Roman"/>
          <w:lang w:val="en-US"/>
        </w:rPr>
        <w:t>are</w:t>
      </w:r>
      <w:proofErr w:type="gramEnd"/>
      <w:r>
        <w:rPr>
          <w:rFonts w:cs="Times New Roman"/>
          <w:lang w:val="en-US"/>
        </w:rPr>
        <w:t xml:space="preserve"> significant </w:t>
      </w:r>
      <w:r w:rsidR="00C15BC5">
        <w:rPr>
          <w:rFonts w:cs="Times New Roman"/>
          <w:lang w:val="en-US"/>
        </w:rPr>
        <w:t>space in the</w:t>
      </w:r>
      <w:r>
        <w:rPr>
          <w:rFonts w:cs="Times New Roman"/>
          <w:lang w:val="en-US"/>
        </w:rPr>
        <w:t xml:space="preserve"> delivery of PCC by community pharmacists. These limitations are due to several challenges such as; time </w:t>
      </w:r>
      <w:r w:rsidR="00CC29F0">
        <w:rPr>
          <w:rFonts w:cs="Times New Roman"/>
          <w:lang w:val="en-US"/>
        </w:rPr>
        <w:t>challenges</w:t>
      </w:r>
      <w:r>
        <w:rPr>
          <w:rFonts w:cs="Times New Roman"/>
          <w:lang w:val="en-US"/>
        </w:rPr>
        <w:t xml:space="preserve">, lack of expertise, no provision made for continued professional development, no access to </w:t>
      </w:r>
      <w:r w:rsidR="00CC29F0">
        <w:rPr>
          <w:rFonts w:cs="Times New Roman"/>
          <w:lang w:val="en-US"/>
        </w:rPr>
        <w:t xml:space="preserve">an </w:t>
      </w:r>
      <w:r>
        <w:rPr>
          <w:rFonts w:cs="Times New Roman"/>
          <w:lang w:val="en-US"/>
        </w:rPr>
        <w:t xml:space="preserve">information base, and finally; cultural and professional </w:t>
      </w:r>
      <w:r w:rsidR="00CC29F0">
        <w:rPr>
          <w:rFonts w:cs="Times New Roman"/>
          <w:lang w:val="en-US"/>
        </w:rPr>
        <w:t>challenges</w:t>
      </w:r>
      <w:r>
        <w:rPr>
          <w:rFonts w:cs="Times New Roman"/>
          <w:lang w:val="en-US"/>
        </w:rPr>
        <w:t xml:space="preserve"> (Rasheed et al., 2018). Another systematic review made in regard underlined that there were critical obstacles to the maximum provision of PCC as follows: Language and communication </w:t>
      </w:r>
      <w:r w:rsidR="00C007B4">
        <w:rPr>
          <w:rFonts w:cs="Times New Roman"/>
          <w:lang w:val="en-US"/>
        </w:rPr>
        <w:t>problems</w:t>
      </w:r>
      <w:r>
        <w:rPr>
          <w:rFonts w:cs="Times New Roman"/>
          <w:lang w:val="en-US"/>
        </w:rPr>
        <w:t xml:space="preserve">, Lack of instructions </w:t>
      </w:r>
      <w:proofErr w:type="spellStart"/>
      <w:r>
        <w:rPr>
          <w:rFonts w:cs="Times New Roman"/>
          <w:lang w:val="en-US"/>
        </w:rPr>
        <w:t>giv</w:t>
      </w:r>
      <w:r w:rsidR="00056DC2">
        <w:rPr>
          <w:rFonts w:cs="Times New Roman"/>
          <w:lang w:val="en-US"/>
        </w:rPr>
        <w:t>e</w:t>
      </w:r>
      <w:proofErr w:type="spellEnd"/>
      <w:r>
        <w:rPr>
          <w:rFonts w:cs="Times New Roman"/>
          <w:lang w:val="en-US"/>
        </w:rPr>
        <w:t xml:space="preserve"> to the </w:t>
      </w:r>
      <w:proofErr w:type="gramStart"/>
      <w:r>
        <w:rPr>
          <w:rFonts w:cs="Times New Roman"/>
          <w:lang w:val="en-US"/>
        </w:rPr>
        <w:t>patients</w:t>
      </w:r>
      <w:proofErr w:type="gramEnd"/>
      <w:r>
        <w:rPr>
          <w:rFonts w:cs="Times New Roman"/>
        </w:rPr>
        <w:t xml:space="preserve"> preadmission (</w:t>
      </w:r>
      <w:proofErr w:type="spellStart"/>
      <w:r>
        <w:rPr>
          <w:rFonts w:cs="Times New Roman"/>
        </w:rPr>
        <w:t>Aljuaid</w:t>
      </w:r>
      <w:proofErr w:type="spellEnd"/>
      <w:r>
        <w:rPr>
          <w:rFonts w:cs="Times New Roman"/>
        </w:rPr>
        <w:t xml:space="preserve"> et al., 2016). This study also found that including patient’s </w:t>
      </w:r>
      <w:r w:rsidR="00CC29F0">
        <w:rPr>
          <w:rFonts w:cs="Times New Roman"/>
        </w:rPr>
        <w:t>opinions</w:t>
      </w:r>
      <w:r>
        <w:rPr>
          <w:rFonts w:cs="Times New Roman"/>
        </w:rPr>
        <w:t xml:space="preserve"> and preferences, and </w:t>
      </w:r>
      <w:r w:rsidR="00056DC2" w:rsidRPr="00056DC2">
        <w:rPr>
          <w:rFonts w:cs="Times New Roman"/>
        </w:rPr>
        <w:t>preserving</w:t>
      </w:r>
      <w:r>
        <w:rPr>
          <w:rFonts w:cs="Times New Roman"/>
        </w:rPr>
        <w:t xml:space="preserve"> patient privacy during physical examination were positive predictors </w:t>
      </w:r>
      <w:r w:rsidR="00CC29F0">
        <w:rPr>
          <w:rFonts w:cs="Times New Roman"/>
        </w:rPr>
        <w:t>of</w:t>
      </w:r>
      <w:r>
        <w:rPr>
          <w:rFonts w:cs="Times New Roman"/>
        </w:rPr>
        <w:t xml:space="preserve"> PCC, and that support given by leadership </w:t>
      </w:r>
      <w:r w:rsidR="00CC29F0">
        <w:rPr>
          <w:rFonts w:cs="Times New Roman"/>
        </w:rPr>
        <w:t>toward</w:t>
      </w:r>
      <w:r>
        <w:rPr>
          <w:rFonts w:cs="Times New Roman"/>
        </w:rPr>
        <w:t xml:space="preserve"> </w:t>
      </w:r>
      <w:r w:rsidR="00CC29F0">
        <w:rPr>
          <w:rFonts w:cs="Times New Roman"/>
        </w:rPr>
        <w:t xml:space="preserve">a </w:t>
      </w:r>
      <w:r>
        <w:rPr>
          <w:rFonts w:cs="Times New Roman"/>
        </w:rPr>
        <w:t>patient-centric approach can influence perceptions of PCC among HCPs (</w:t>
      </w:r>
      <w:proofErr w:type="spellStart"/>
      <w:r>
        <w:rPr>
          <w:rFonts w:cs="Times New Roman"/>
        </w:rPr>
        <w:t>Aljuaid</w:t>
      </w:r>
      <w:proofErr w:type="spellEnd"/>
      <w:r>
        <w:rPr>
          <w:rFonts w:cs="Times New Roman"/>
        </w:rPr>
        <w:t xml:space="preserve"> et al., 2016; Hussein, 2014). While health system in Saudi Arabia previously was predominantly resource and </w:t>
      </w:r>
      <w:r w:rsidR="00CC29F0">
        <w:rPr>
          <w:rFonts w:cs="Times New Roman"/>
        </w:rPr>
        <w:t>staff-centric</w:t>
      </w:r>
      <w:r>
        <w:rPr>
          <w:rFonts w:cs="Times New Roman"/>
        </w:rPr>
        <w:t xml:space="preserve">, there is increasing awareness and government incentive to convert it to a patient-centric system which improves quality of life, accountability of healthcare organizations and staff, and cost reduction with improved patient outcomes (Ahmad et al., 2020; Al-Sahli et al., 2021). </w:t>
      </w:r>
    </w:p>
    <w:p w:rsidR="00E91236" w:rsidRDefault="00000000">
      <w:pPr>
        <w:pStyle w:val="Heading4"/>
        <w:rPr>
          <w:rFonts w:cs="Times New Roman"/>
        </w:rPr>
      </w:pPr>
      <w:r>
        <w:rPr>
          <w:rFonts w:cs="Times New Roman"/>
        </w:rPr>
        <w:t xml:space="preserve">2.2.3. Models of Patient </w:t>
      </w:r>
      <w:proofErr w:type="spellStart"/>
      <w:r>
        <w:rPr>
          <w:rFonts w:cs="Times New Roman"/>
        </w:rPr>
        <w:t>Centered</w:t>
      </w:r>
      <w:proofErr w:type="spellEnd"/>
      <w:r>
        <w:rPr>
          <w:rFonts w:cs="Times New Roman"/>
        </w:rPr>
        <w:t xml:space="preserve"> Care</w:t>
      </w:r>
    </w:p>
    <w:p w:rsidR="00E91236" w:rsidRDefault="00000000" w:rsidP="00056DC2">
      <w:pPr>
        <w:ind w:firstLine="720"/>
      </w:pPr>
      <w:r>
        <w:t>Several conceptual frameworks have been historically used to define the dimensions of patient-</w:t>
      </w:r>
      <w:proofErr w:type="spellStart"/>
      <w:r>
        <w:t>centered</w:t>
      </w:r>
      <w:proofErr w:type="spellEnd"/>
      <w:r>
        <w:t xml:space="preserve"> care. Some of the important models in this regard are briefly presented below:</w:t>
      </w:r>
    </w:p>
    <w:p w:rsidR="00E91236" w:rsidRDefault="00000000">
      <w:pPr>
        <w:pStyle w:val="Heading5"/>
      </w:pPr>
      <w:r>
        <w:t>2.2.3.1. Picker/Commonwealth Dimensions</w:t>
      </w:r>
    </w:p>
    <w:p w:rsidR="00E91236" w:rsidRDefault="00000000" w:rsidP="00056DC2">
      <w:pPr>
        <w:ind w:firstLine="420"/>
      </w:pPr>
      <w:r>
        <w:t>The Picker/Commonwealth programme for Patient-</w:t>
      </w:r>
      <w:proofErr w:type="spellStart"/>
      <w:r>
        <w:t>Centered</w:t>
      </w:r>
      <w:proofErr w:type="spellEnd"/>
      <w:r>
        <w:t xml:space="preserve"> Care was the first to coin the term “Patient-</w:t>
      </w:r>
      <w:proofErr w:type="spellStart"/>
      <w:r>
        <w:t>centered</w:t>
      </w:r>
      <w:proofErr w:type="spellEnd"/>
      <w:r>
        <w:t xml:space="preserve"> care”. The program created the Picker’s survey instrument measuring patient experience across eight dimensions by conducting telephonic interviews with patients and families, as well as focus group discussions (Conway et al., 2006). The eight dimensions described in the instruments are as follows:</w:t>
      </w:r>
    </w:p>
    <w:p w:rsidR="00E91236" w:rsidRDefault="00C007B4">
      <w:pPr>
        <w:pStyle w:val="ListParagraph"/>
        <w:numPr>
          <w:ilvl w:val="0"/>
          <w:numId w:val="5"/>
        </w:numPr>
      </w:pPr>
      <w:r w:rsidRPr="00C007B4">
        <w:rPr>
          <w:b/>
        </w:rPr>
        <w:t>Care integration and coordination</w:t>
      </w:r>
      <w:r w:rsidR="00000000">
        <w:rPr>
          <w:b/>
        </w:rPr>
        <w:t>:</w:t>
      </w:r>
      <w:r w:rsidR="00000000">
        <w:t xml:space="preserve"> </w:t>
      </w:r>
      <w:r w:rsidRPr="00C007B4">
        <w:t>Across support, additional, and clinical services</w:t>
      </w:r>
    </w:p>
    <w:p w:rsidR="00E91236" w:rsidRDefault="00000000">
      <w:pPr>
        <w:pStyle w:val="ListParagraph"/>
        <w:numPr>
          <w:ilvl w:val="0"/>
          <w:numId w:val="5"/>
        </w:numPr>
        <w:rPr>
          <w:b/>
        </w:rPr>
      </w:pPr>
      <w:r>
        <w:rPr>
          <w:b/>
        </w:rPr>
        <w:t>Information, communication, and education</w:t>
      </w:r>
    </w:p>
    <w:p w:rsidR="00E91236" w:rsidRDefault="00000000" w:rsidP="00056DC2">
      <w:pPr>
        <w:pStyle w:val="ListParagraph"/>
        <w:numPr>
          <w:ilvl w:val="0"/>
          <w:numId w:val="5"/>
        </w:numPr>
      </w:pPr>
      <w:r>
        <w:rPr>
          <w:b/>
        </w:rPr>
        <w:lastRenderedPageBreak/>
        <w:t>Physical comfort:</w:t>
      </w:r>
      <w:r>
        <w:t xml:space="preserve"> </w:t>
      </w:r>
      <w:r w:rsidR="00056DC2">
        <w:t>T</w:t>
      </w:r>
      <w:r>
        <w:t>his i</w:t>
      </w:r>
      <w:r w:rsidR="00056DC2">
        <w:t>nvolves</w:t>
      </w:r>
      <w:r>
        <w:t xml:space="preserve"> pain management, clean and comfortable surroundings, and help with daily living.</w:t>
      </w:r>
    </w:p>
    <w:p w:rsidR="00C007B4" w:rsidRPr="00C007B4" w:rsidRDefault="00C007B4">
      <w:pPr>
        <w:pStyle w:val="ListParagraph"/>
        <w:numPr>
          <w:ilvl w:val="0"/>
          <w:numId w:val="5"/>
        </w:numPr>
      </w:pPr>
      <w:r w:rsidRPr="00C007B4">
        <w:rPr>
          <w:b/>
        </w:rPr>
        <w:t>Family and friend participation in care</w:t>
      </w:r>
    </w:p>
    <w:p w:rsidR="00E91236" w:rsidRDefault="00C007B4">
      <w:pPr>
        <w:pStyle w:val="ListParagraph"/>
        <w:numPr>
          <w:ilvl w:val="0"/>
          <w:numId w:val="5"/>
        </w:numPr>
      </w:pPr>
      <w:proofErr w:type="spellStart"/>
      <w:r w:rsidRPr="00C007B4">
        <w:rPr>
          <w:b/>
        </w:rPr>
        <w:t>Honoring</w:t>
      </w:r>
      <w:proofErr w:type="spellEnd"/>
      <w:r w:rsidRPr="00C007B4">
        <w:rPr>
          <w:b/>
        </w:rPr>
        <w:t xml:space="preserve"> the values, needs, and preferences of the patient</w:t>
      </w:r>
      <w:r w:rsidR="00000000">
        <w:rPr>
          <w:b/>
        </w:rPr>
        <w:t>:</w:t>
      </w:r>
      <w:r w:rsidR="00000000">
        <w:t xml:space="preserve"> this includes attention to patient autonomy, involvement in decision-making, and awareness of quality-of-life issues.</w:t>
      </w:r>
    </w:p>
    <w:p w:rsidR="00C007B4" w:rsidRPr="00C007B4" w:rsidRDefault="00C007B4">
      <w:pPr>
        <w:pStyle w:val="ListParagraph"/>
        <w:numPr>
          <w:ilvl w:val="0"/>
          <w:numId w:val="5"/>
        </w:numPr>
      </w:pPr>
      <w:r w:rsidRPr="00C007B4">
        <w:rPr>
          <w:b/>
        </w:rPr>
        <w:t>Support on an emotional level and reduction in worry and terror</w:t>
      </w:r>
    </w:p>
    <w:p w:rsidR="00E91236" w:rsidRDefault="00C007B4">
      <w:pPr>
        <w:pStyle w:val="ListParagraph"/>
        <w:numPr>
          <w:ilvl w:val="0"/>
          <w:numId w:val="5"/>
        </w:numPr>
      </w:pPr>
      <w:r w:rsidRPr="00C007B4">
        <w:rPr>
          <w:b/>
        </w:rPr>
        <w:t>Care continuity and transition</w:t>
      </w:r>
      <w:r w:rsidR="00000000">
        <w:t>, especially care away from clinical settings.</w:t>
      </w:r>
    </w:p>
    <w:p w:rsidR="00E91236" w:rsidRDefault="00000000">
      <w:pPr>
        <w:pStyle w:val="ListParagraph"/>
        <w:numPr>
          <w:ilvl w:val="0"/>
          <w:numId w:val="5"/>
        </w:numPr>
      </w:pPr>
      <w:r>
        <w:rPr>
          <w:b/>
        </w:rPr>
        <w:t>Access to care:</w:t>
      </w:r>
      <w:r>
        <w:t xml:space="preserve"> </w:t>
      </w:r>
      <w:r w:rsidR="00056DC2">
        <w:t>T</w:t>
      </w:r>
      <w:r>
        <w:t>his covers time spent for admission, as well as outpatient and inpatient waiting times.</w:t>
      </w:r>
    </w:p>
    <w:p w:rsidR="00E91236" w:rsidRDefault="00000000">
      <w:pPr>
        <w:rPr>
          <w:b/>
        </w:rPr>
      </w:pPr>
      <w:r>
        <w:rPr>
          <w:b/>
        </w:rPr>
        <w:t>Figure 2.1: Picker’s principles of patient-</w:t>
      </w:r>
      <w:proofErr w:type="spellStart"/>
      <w:r>
        <w:rPr>
          <w:b/>
        </w:rPr>
        <w:t>centered</w:t>
      </w:r>
      <w:proofErr w:type="spellEnd"/>
      <w:r>
        <w:rPr>
          <w:b/>
        </w:rPr>
        <w:t xml:space="preserve"> care</w:t>
      </w:r>
    </w:p>
    <w:p w:rsidR="00E91236" w:rsidRDefault="00000000">
      <w:r>
        <w:rPr>
          <w:noProof/>
          <w:lang w:val="en-US"/>
        </w:rPr>
        <w:drawing>
          <wp:inline distT="0" distB="0" distL="0" distR="0">
            <wp:extent cx="6343650" cy="3362325"/>
            <wp:effectExtent l="0" t="0" r="0" b="9525"/>
            <wp:docPr id="1026"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E91236" w:rsidRDefault="00000000">
      <w:pPr>
        <w:pStyle w:val="Heading5"/>
      </w:pPr>
      <w:r>
        <w:t>2.2.3.2. Institute for Patient and Family-Cantered Care (IPFCC) Model</w:t>
      </w:r>
    </w:p>
    <w:p w:rsidR="00E91236" w:rsidRDefault="00000000" w:rsidP="00DE2FCE">
      <w:pPr>
        <w:ind w:firstLine="360"/>
      </w:pPr>
      <w:r>
        <w:t>This model, based on four core concepts, was introduced by the Institute for Patient and Family-</w:t>
      </w:r>
      <w:proofErr w:type="spellStart"/>
      <w:r>
        <w:t>centered</w:t>
      </w:r>
      <w:proofErr w:type="spellEnd"/>
      <w:r>
        <w:t xml:space="preserve"> care, with the perspective that PCC is an innovative approach to healthcare </w:t>
      </w:r>
      <w:r w:rsidR="00C007B4" w:rsidRPr="00C007B4">
        <w:t>preparation, execution, and assessment</w:t>
      </w:r>
      <w:r>
        <w:t xml:space="preserve">, which is grounded in the principle of </w:t>
      </w:r>
      <w:r w:rsidR="00C007B4" w:rsidRPr="00C007B4">
        <w:t>mutually advantageous alliances among</w:t>
      </w:r>
      <w:r>
        <w:t xml:space="preserve"> patients, families, and HCPs (Hsu et al., 2019). The core concepts entailed in this model include:</w:t>
      </w:r>
    </w:p>
    <w:p w:rsidR="00E91236" w:rsidRDefault="00000000">
      <w:pPr>
        <w:pStyle w:val="ListParagraph"/>
        <w:numPr>
          <w:ilvl w:val="0"/>
          <w:numId w:val="6"/>
        </w:numPr>
      </w:pPr>
      <w:r>
        <w:rPr>
          <w:b/>
        </w:rPr>
        <w:lastRenderedPageBreak/>
        <w:t xml:space="preserve">Dignity and Respect: </w:t>
      </w:r>
      <w:r>
        <w:t>HCPs should offer dignity and respect to patients’ and families’ values, beliefs, relationships and cultural backgrounds while planning the delivery of care.</w:t>
      </w:r>
    </w:p>
    <w:p w:rsidR="00E91236" w:rsidRDefault="00000000">
      <w:pPr>
        <w:pStyle w:val="ListParagraph"/>
        <w:numPr>
          <w:ilvl w:val="0"/>
          <w:numId w:val="6"/>
        </w:numPr>
      </w:pPr>
      <w:r>
        <w:rPr>
          <w:b/>
        </w:rPr>
        <w:t xml:space="preserve">Participation: </w:t>
      </w:r>
      <w:r>
        <w:t>Patients and families can participate in the decision-making process at whatever level they choose.</w:t>
      </w:r>
    </w:p>
    <w:p w:rsidR="00E91236" w:rsidRDefault="00000000">
      <w:pPr>
        <w:pStyle w:val="ListParagraph"/>
        <w:numPr>
          <w:ilvl w:val="0"/>
          <w:numId w:val="6"/>
        </w:numPr>
      </w:pPr>
      <w:r>
        <w:rPr>
          <w:b/>
        </w:rPr>
        <w:t xml:space="preserve">Information-sharing: </w:t>
      </w:r>
      <w:r>
        <w:t>HCPs share timely, accurate, unbiased, and complete information with patients and families, helping them to reach an informed decision about the continuity of care.</w:t>
      </w:r>
    </w:p>
    <w:p w:rsidR="00E91236" w:rsidRDefault="00000000">
      <w:pPr>
        <w:pStyle w:val="ListParagraph"/>
        <w:numPr>
          <w:ilvl w:val="0"/>
          <w:numId w:val="6"/>
        </w:numPr>
      </w:pPr>
      <w:r>
        <w:rPr>
          <w:b/>
        </w:rPr>
        <w:t xml:space="preserve">Collaboration: </w:t>
      </w:r>
      <w:r w:rsidR="00C007B4" w:rsidRPr="00C007B4">
        <w:t xml:space="preserve">Families and patients </w:t>
      </w:r>
      <w:r>
        <w:t>allowed to participate in broader aspects of care delivery, such as policy making; program development, evaluation and implementation; professional education; and delivery of care.</w:t>
      </w:r>
    </w:p>
    <w:p w:rsidR="00E91236" w:rsidRDefault="00000000">
      <w:pPr>
        <w:pStyle w:val="Heading5"/>
      </w:pPr>
      <w:r>
        <w:t>2.2.3.3. The Planetree Model</w:t>
      </w:r>
    </w:p>
    <w:p w:rsidR="00E91236" w:rsidRDefault="00000000" w:rsidP="00DE2FCE">
      <w:pPr>
        <w:ind w:firstLine="420"/>
      </w:pPr>
      <w:r>
        <w:t>The Planetree model is based on nine tenets of patient-</w:t>
      </w:r>
      <w:proofErr w:type="spellStart"/>
      <w:r>
        <w:t>centered</w:t>
      </w:r>
      <w:proofErr w:type="spellEnd"/>
      <w:r>
        <w:t xml:space="preserve"> care, which were formulated to make patients partners in their care so that they could meet their human needs and improve overall outcomes (Shaller, 2007). The organization currently offers certification for healthcare organizations in patient-</w:t>
      </w:r>
      <w:proofErr w:type="spellStart"/>
      <w:r>
        <w:t>centered</w:t>
      </w:r>
      <w:proofErr w:type="spellEnd"/>
      <w:r>
        <w:t xml:space="preserve"> care, based on principles which are outlined below:</w:t>
      </w:r>
    </w:p>
    <w:p w:rsidR="00E91236" w:rsidRDefault="00000000">
      <w:pPr>
        <w:pStyle w:val="ListParagraph"/>
        <w:numPr>
          <w:ilvl w:val="0"/>
          <w:numId w:val="7"/>
        </w:numPr>
      </w:pPr>
      <w:r>
        <w:t>Recognition of importance of human interaction in personalized care</w:t>
      </w:r>
    </w:p>
    <w:p w:rsidR="00E91236" w:rsidRDefault="00000000">
      <w:pPr>
        <w:pStyle w:val="ListParagraph"/>
        <w:numPr>
          <w:ilvl w:val="0"/>
          <w:numId w:val="7"/>
        </w:numPr>
      </w:pPr>
      <w:r>
        <w:t>Patient education and consumer-oriented health libraries to inform and educate diverse patient populations.</w:t>
      </w:r>
    </w:p>
    <w:p w:rsidR="00E91236" w:rsidRDefault="00000000">
      <w:pPr>
        <w:pStyle w:val="ListParagraph"/>
        <w:numPr>
          <w:ilvl w:val="0"/>
          <w:numId w:val="7"/>
        </w:numPr>
      </w:pPr>
      <w:r>
        <w:t>Attending to nurturing aspects of nutrition</w:t>
      </w:r>
    </w:p>
    <w:p w:rsidR="00E91236" w:rsidRDefault="00000000">
      <w:pPr>
        <w:pStyle w:val="ListParagraph"/>
        <w:numPr>
          <w:ilvl w:val="0"/>
          <w:numId w:val="7"/>
        </w:numPr>
      </w:pPr>
      <w:r>
        <w:t>Incorporating arts, massage, human touch, spirituality and inner healing into patient care</w:t>
      </w:r>
    </w:p>
    <w:p w:rsidR="00E91236" w:rsidRDefault="00000000">
      <w:pPr>
        <w:pStyle w:val="ListParagraph"/>
        <w:numPr>
          <w:ilvl w:val="0"/>
          <w:numId w:val="7"/>
        </w:numPr>
      </w:pPr>
      <w:r>
        <w:t>Using architecture and design to create healthy environments.</w:t>
      </w:r>
    </w:p>
    <w:p w:rsidR="00E91236" w:rsidRDefault="00000000">
      <w:pPr>
        <w:pStyle w:val="ListParagraph"/>
        <w:numPr>
          <w:ilvl w:val="0"/>
          <w:numId w:val="7"/>
        </w:numPr>
      </w:pPr>
      <w:r>
        <w:t>Integrating alternative practices into routine clinical care</w:t>
      </w:r>
    </w:p>
    <w:p w:rsidR="00E91236" w:rsidRDefault="00000000" w:rsidP="00DE2FCE">
      <w:pPr>
        <w:ind w:firstLine="420"/>
      </w:pPr>
      <w:r>
        <w:t xml:space="preserve">The integration of these principles has brought a paradigm shift from simple patient care to patient and family-engaged care (PFEC), which involves active partnership of HCPs with patients and families for planning, delivery, management, and improvement of healthcare services (Frampton et al., 2017).   </w:t>
      </w:r>
    </w:p>
    <w:p w:rsidR="00E91236" w:rsidRDefault="00000000">
      <w:pPr>
        <w:pStyle w:val="Heading5"/>
      </w:pPr>
      <w:r>
        <w:t>2.2.3.4. National Health Council (2004)</w:t>
      </w:r>
    </w:p>
    <w:p w:rsidR="00E91236" w:rsidRDefault="00000000" w:rsidP="00056DC2">
      <w:pPr>
        <w:ind w:firstLine="360"/>
      </w:pPr>
      <w:r>
        <w:t xml:space="preserve">Based on the report by Carol Cronin in 2004, the National Health Council in 2004 identified three themes of PCC based on patient outcomes: </w:t>
      </w:r>
    </w:p>
    <w:p w:rsidR="00E91236" w:rsidRDefault="00000000">
      <w:pPr>
        <w:pStyle w:val="ListParagraph"/>
        <w:numPr>
          <w:ilvl w:val="0"/>
          <w:numId w:val="8"/>
        </w:numPr>
      </w:pPr>
      <w:r>
        <w:lastRenderedPageBreak/>
        <w:t>Care over time involving patient’s family.</w:t>
      </w:r>
    </w:p>
    <w:p w:rsidR="00E91236" w:rsidRDefault="00000000">
      <w:pPr>
        <w:pStyle w:val="ListParagraph"/>
        <w:numPr>
          <w:ilvl w:val="0"/>
          <w:numId w:val="8"/>
        </w:numPr>
      </w:pPr>
      <w:r>
        <w:t>Shared and accessible information</w:t>
      </w:r>
    </w:p>
    <w:p w:rsidR="00E91236" w:rsidRDefault="00000000">
      <w:pPr>
        <w:pStyle w:val="ListParagraph"/>
        <w:numPr>
          <w:ilvl w:val="0"/>
          <w:numId w:val="8"/>
        </w:numPr>
      </w:pPr>
      <w:r>
        <w:t>Respect for patient’s needs, values, and preferences</w:t>
      </w:r>
    </w:p>
    <w:p w:rsidR="00E91236" w:rsidRDefault="00000000" w:rsidP="00056DC2">
      <w:pPr>
        <w:ind w:firstLine="360"/>
      </w:pPr>
      <w:r>
        <w:t>The report reviewed 9 different models of PCC to arrive at a unified definition, which represented 45 different concepts identified from the various definitions (Cronin, 2004). Figure 2 represents the six main elements which were identified across models and form the core of principles of PCC.</w:t>
      </w:r>
    </w:p>
    <w:p w:rsidR="00E91236" w:rsidRDefault="00000000">
      <w:pPr>
        <w:rPr>
          <w:b/>
        </w:rPr>
      </w:pPr>
      <w:r>
        <w:rPr>
          <w:b/>
        </w:rPr>
        <w:t>Figure 2: National Health Council Elements of Patient-</w:t>
      </w:r>
      <w:proofErr w:type="spellStart"/>
      <w:r>
        <w:rPr>
          <w:b/>
        </w:rPr>
        <w:t>centered</w:t>
      </w:r>
      <w:proofErr w:type="spellEnd"/>
      <w:r>
        <w:rPr>
          <w:b/>
        </w:rPr>
        <w:t xml:space="preserve"> Care</w:t>
      </w:r>
    </w:p>
    <w:p w:rsidR="00E91236" w:rsidRDefault="00000000">
      <w:r>
        <w:rPr>
          <w:noProof/>
          <w:lang w:val="en-US"/>
        </w:rPr>
        <w:drawing>
          <wp:inline distT="0" distB="0" distL="0" distR="0">
            <wp:extent cx="6381750" cy="4133850"/>
            <wp:effectExtent l="0" t="57150" r="0" b="95250"/>
            <wp:docPr id="1027"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91236" w:rsidRDefault="00E91236"/>
    <w:p w:rsidR="00E91236" w:rsidRDefault="00000000">
      <w:pPr>
        <w:pStyle w:val="Heading4"/>
        <w:rPr>
          <w:rFonts w:cs="Times New Roman"/>
        </w:rPr>
      </w:pPr>
      <w:r>
        <w:rPr>
          <w:rFonts w:cs="Times New Roman"/>
        </w:rPr>
        <w:t>2.2.4. Patient Satisfaction as a Metric for Patient-</w:t>
      </w:r>
      <w:proofErr w:type="spellStart"/>
      <w:r>
        <w:rPr>
          <w:rFonts w:cs="Times New Roman"/>
        </w:rPr>
        <w:t>Centered</w:t>
      </w:r>
      <w:proofErr w:type="spellEnd"/>
      <w:r>
        <w:rPr>
          <w:rFonts w:cs="Times New Roman"/>
        </w:rPr>
        <w:t xml:space="preserve"> Care</w:t>
      </w:r>
    </w:p>
    <w:p w:rsidR="00E91236" w:rsidRDefault="00000000" w:rsidP="00DE2FCE">
      <w:pPr>
        <w:ind w:firstLine="720"/>
        <w:rPr>
          <w:rFonts w:cs="Times New Roman"/>
        </w:rPr>
      </w:pPr>
      <w:r>
        <w:rPr>
          <w:rFonts w:cs="Times New Roman"/>
        </w:rPr>
        <w:t xml:space="preserve">Patient-centeredness is an integral dimension of healthcare quality (Berwick, 2009). At an organizational level, seven key factors have been defined to formulate a framework for providing </w:t>
      </w:r>
      <w:r>
        <w:rPr>
          <w:rFonts w:cs="Times New Roman"/>
        </w:rPr>
        <w:lastRenderedPageBreak/>
        <w:t xml:space="preserve">PCC. </w:t>
      </w:r>
      <w:r w:rsidR="00056DC2" w:rsidRPr="00056DC2">
        <w:rPr>
          <w:rFonts w:cs="Times New Roman"/>
        </w:rPr>
        <w:t xml:space="preserve">These include the quality of the built environment, leadership involvement, communication of the strategic vision to organizational members, </w:t>
      </w:r>
      <w:r w:rsidR="003D59D6" w:rsidRPr="003D59D6">
        <w:rPr>
          <w:rFonts w:cs="Times New Roman"/>
        </w:rPr>
        <w:t>systematic monitoring and feedback, supportive workplace conditions, and multi-level patient and family interaction</w:t>
      </w:r>
      <w:r w:rsidR="00056DC2" w:rsidRPr="00056DC2">
        <w:rPr>
          <w:rFonts w:cs="Times New Roman"/>
        </w:rPr>
        <w:t xml:space="preserve">, and supportive information technology (Shaller, 2007). </w:t>
      </w:r>
      <w:r>
        <w:rPr>
          <w:rFonts w:cs="Times New Roman"/>
        </w:rPr>
        <w:t>While clinical audit and feedback are important quality improvement strategies for managing risk, reporting incidents, and assuring quality, ultimately patient-centeredness relies on more than just these strategies, and a wider organizational approach requiring patient input can be helpful in this regard (Groene et al., 2009; Luxford, Safran, &amp; Delbanco, 2011).</w:t>
      </w:r>
    </w:p>
    <w:p w:rsidR="00E91236" w:rsidRDefault="00000000" w:rsidP="00DE2FCE">
      <w:pPr>
        <w:ind w:firstLine="720"/>
        <w:rPr>
          <w:rFonts w:cs="Times New Roman"/>
        </w:rPr>
      </w:pPr>
      <w:r>
        <w:rPr>
          <w:rFonts w:cs="Times New Roman"/>
        </w:rPr>
        <w:t xml:space="preserve">While patient satisfaction is an important derivative of PCC, with roots in consumer marketing, it is not necessarily the same as patient-centeredness (Kupfer &amp; Bond, 2019). Patient satisfaction implies that patients have been provided support, comfort and education regarding synthesis of the decision-making process, and that their viewpoint has been considered and inculcated. Monitoring patient satisfaction has become a commercial metric for organizational success, with direct links to quality in terms of reduction in malpractice claims, and healing effect of positive perceptions which serves as a ‘placebo’ (Hall, 2008). Even though patient satisfaction can conflict with patient-centeredness at times, the goal of the physician should be maximizing patient benefit by ensuring safety, effectiveness, efficiency and equitability, and to bridge the gap between patient’s demand and actual clinical decision through patient education (Kupfer &amp; Bond, 2019; Coulter, 2019). </w:t>
      </w:r>
    </w:p>
    <w:p w:rsidR="00E91236" w:rsidRDefault="00000000" w:rsidP="00DE2FCE">
      <w:pPr>
        <w:ind w:firstLine="720"/>
        <w:rPr>
          <w:rFonts w:cs="Times New Roman"/>
        </w:rPr>
      </w:pPr>
      <w:r>
        <w:rPr>
          <w:rFonts w:cs="Times New Roman"/>
        </w:rPr>
        <w:t>Satisfaction is not only an emotional reaction but also a cognitive evaluation of the quality of medical care that has been provided to patients; in this regard, it is strongly influenced by underlying patient expectations (</w:t>
      </w:r>
      <w:proofErr w:type="spellStart"/>
      <w:r>
        <w:rPr>
          <w:rFonts w:cs="Times New Roman"/>
        </w:rPr>
        <w:t>Urden</w:t>
      </w:r>
      <w:proofErr w:type="spellEnd"/>
      <w:r>
        <w:rPr>
          <w:rFonts w:cs="Times New Roman"/>
        </w:rPr>
        <w:t>, 2002; Crow et al., 2002). In modern medicine, satisfaction represents an endpoint for evaluation of patient-</w:t>
      </w:r>
      <w:proofErr w:type="spellStart"/>
      <w:r>
        <w:rPr>
          <w:rFonts w:cs="Times New Roman"/>
        </w:rPr>
        <w:t>centered</w:t>
      </w:r>
      <w:proofErr w:type="spellEnd"/>
      <w:r>
        <w:rPr>
          <w:rFonts w:cs="Times New Roman"/>
        </w:rPr>
        <w:t xml:space="preserve"> care. Patient satisfaction is also a measure of physician payment structures (Shirley, Josephson &amp; Sanders, 2016).  </w:t>
      </w:r>
    </w:p>
    <w:p w:rsidR="00E91236" w:rsidRDefault="00000000" w:rsidP="00DE2FCE">
      <w:pPr>
        <w:ind w:firstLine="720"/>
        <w:rPr>
          <w:rFonts w:cs="Times New Roman"/>
        </w:rPr>
      </w:pPr>
      <w:r>
        <w:rPr>
          <w:rFonts w:cs="Times New Roman"/>
        </w:rPr>
        <w:t>Since it shows how well healthcare services meet patients' choices, wants, and expectations, patient satisfaction is an essential indicator of how well patient-</w:t>
      </w:r>
      <w:proofErr w:type="spellStart"/>
      <w:r>
        <w:rPr>
          <w:rFonts w:cs="Times New Roman"/>
        </w:rPr>
        <w:t>centered</w:t>
      </w:r>
      <w:proofErr w:type="spellEnd"/>
      <w:r>
        <w:rPr>
          <w:rFonts w:cs="Times New Roman"/>
        </w:rPr>
        <w:t xml:space="preserve"> care (PCC) is working. Patient satisfaction provides knowledge about how well healthcare systems are delivering those clinical, patient-</w:t>
      </w:r>
      <w:proofErr w:type="spellStart"/>
      <w:r>
        <w:rPr>
          <w:rFonts w:cs="Times New Roman"/>
        </w:rPr>
        <w:t>centered</w:t>
      </w:r>
      <w:proofErr w:type="spellEnd"/>
      <w:r>
        <w:rPr>
          <w:rFonts w:cs="Times New Roman"/>
        </w:rPr>
        <w:t xml:space="preserve">, and empathetic, understanding care that patients require. Of course, many studies have </w:t>
      </w:r>
      <w:proofErr w:type="spellStart"/>
      <w:r>
        <w:rPr>
          <w:rFonts w:cs="Times New Roman"/>
        </w:rPr>
        <w:t>analyzed</w:t>
      </w:r>
      <w:proofErr w:type="spellEnd"/>
      <w:r>
        <w:rPr>
          <w:rFonts w:cs="Times New Roman"/>
        </w:rPr>
        <w:t xml:space="preserve"> the relationship between PCC and patient satisfaction with focusing on how the evaluation of this aspect can help to understand whether </w:t>
      </w:r>
      <w:r>
        <w:rPr>
          <w:rFonts w:cs="Times New Roman"/>
        </w:rPr>
        <w:lastRenderedPageBreak/>
        <w:t>non-pharmacological patient-</w:t>
      </w:r>
      <w:proofErr w:type="spellStart"/>
      <w:r>
        <w:rPr>
          <w:rFonts w:cs="Times New Roman"/>
        </w:rPr>
        <w:t>centered</w:t>
      </w:r>
      <w:proofErr w:type="spellEnd"/>
      <w:r>
        <w:rPr>
          <w:rFonts w:cs="Times New Roman"/>
        </w:rPr>
        <w:t xml:space="preserve"> intervention approaches in the healthcare context are effective or not.</w:t>
      </w:r>
    </w:p>
    <w:p w:rsidR="00E91236" w:rsidRDefault="00000000" w:rsidP="00DE2FCE">
      <w:pPr>
        <w:ind w:firstLine="720"/>
        <w:rPr>
          <w:rFonts w:cs="Times New Roman"/>
        </w:rPr>
      </w:pPr>
      <w:r>
        <w:rPr>
          <w:rFonts w:cs="Times New Roman"/>
        </w:rPr>
        <w:t>Patients’ satisfaction is therefore considered an essential marker especially in outpatient healthcare settings, in determining the extent to which healthcare practitioners are implementing the patient-</w:t>
      </w:r>
      <w:proofErr w:type="spellStart"/>
      <w:r>
        <w:rPr>
          <w:rFonts w:cs="Times New Roman"/>
        </w:rPr>
        <w:t>centered</w:t>
      </w:r>
      <w:proofErr w:type="spellEnd"/>
      <w:r>
        <w:rPr>
          <w:rFonts w:cs="Times New Roman"/>
        </w:rPr>
        <w:t xml:space="preserve"> care model as described by Al-</w:t>
      </w:r>
      <w:proofErr w:type="spellStart"/>
      <w:r>
        <w:rPr>
          <w:rFonts w:cs="Times New Roman"/>
        </w:rPr>
        <w:t>Refaie</w:t>
      </w:r>
      <w:proofErr w:type="spellEnd"/>
      <w:r>
        <w:rPr>
          <w:rFonts w:cs="Times New Roman"/>
        </w:rPr>
        <w:t xml:space="preserve"> et al. (2022). In their Saudi Arabian research, they found out that patient satisfaction gains a significant boost if doctors and nurses are eloquent, specific, and duties enable patients to be participants in the decision-making process. From the study carried out by Al-</w:t>
      </w:r>
      <w:proofErr w:type="spellStart"/>
      <w:r>
        <w:rPr>
          <w:rFonts w:cs="Times New Roman"/>
        </w:rPr>
        <w:t>Refaie</w:t>
      </w:r>
      <w:proofErr w:type="spellEnd"/>
      <w:r>
        <w:rPr>
          <w:rFonts w:cs="Times New Roman"/>
        </w:rPr>
        <w:t xml:space="preserve"> et al, authors report that happy patients are most likely to adhere to their prescribed treatment regimens, attend follow up appointments, and exhibit better general health outcomes. Therefore, patient satisfaction is one of the indicators of patient compliancy as well as patients’ health improvements and quality of care offered. The study also emphasises how important is to assess patient satisfaction regularly so that the principles of PCC can be applied correctly.</w:t>
      </w:r>
    </w:p>
    <w:p w:rsidR="00E91236" w:rsidRDefault="00000000" w:rsidP="00DE2FCE">
      <w:pPr>
        <w:ind w:firstLine="720"/>
        <w:rPr>
          <w:rFonts w:cs="Times New Roman"/>
        </w:rPr>
      </w:pPr>
      <w:r>
        <w:rPr>
          <w:rFonts w:cs="Times New Roman"/>
        </w:rPr>
        <w:t>Patient satisfaction is also discussed by Greenhalgh et al. (2020) as the possible link between PCC and patient satisfaction is investigated. Their study said that patients also preferred the idea of a complete presentation of their needs in a tailored manner. To evaluate, Greenhalgh et al. have explained that satisfaction surveys and feedback forms can be used tools to compare patient experiences across the care plans implemented by healthcare professions. They found that several aspects such as increased patient-physician interaction, greater patient-specificity treatment and the patients were involved in decision-making processes had high levels of patient satisfaction. Based on the findings of this study, patient satisfaction constitutes an important measure of delivering and implementing PCC in healthcare institutions and provides useful feedback for enhancing service provision</w:t>
      </w:r>
      <w:r w:rsidR="00DE2FCE">
        <w:rPr>
          <w:rFonts w:cs="Times New Roman"/>
        </w:rPr>
        <w:t xml:space="preserve"> </w:t>
      </w:r>
      <w:r>
        <w:rPr>
          <w:rFonts w:cs="Times New Roman"/>
        </w:rPr>
        <w:t>care (PCC) is working. Patient satisfaction provides knowledge about how well healthcare systems are delivering those clinical, patient-</w:t>
      </w:r>
      <w:proofErr w:type="spellStart"/>
      <w:r>
        <w:rPr>
          <w:rFonts w:cs="Times New Roman"/>
        </w:rPr>
        <w:t>centered</w:t>
      </w:r>
      <w:proofErr w:type="spellEnd"/>
      <w:r>
        <w:rPr>
          <w:rFonts w:cs="Times New Roman"/>
        </w:rPr>
        <w:t xml:space="preserve">, and empathetic, understanding care that patients require. Of course, many studies have </w:t>
      </w:r>
      <w:proofErr w:type="spellStart"/>
      <w:r>
        <w:rPr>
          <w:rFonts w:cs="Times New Roman"/>
        </w:rPr>
        <w:t>analyzed</w:t>
      </w:r>
      <w:proofErr w:type="spellEnd"/>
      <w:r>
        <w:rPr>
          <w:rFonts w:cs="Times New Roman"/>
        </w:rPr>
        <w:t xml:space="preserve"> the relationship between PCC and patient satisfaction with focusing on how the evaluation of this aspect can help to understand whether non-pharmacological patient-</w:t>
      </w:r>
      <w:proofErr w:type="spellStart"/>
      <w:r>
        <w:rPr>
          <w:rFonts w:cs="Times New Roman"/>
        </w:rPr>
        <w:t>centered</w:t>
      </w:r>
      <w:proofErr w:type="spellEnd"/>
      <w:r>
        <w:rPr>
          <w:rFonts w:cs="Times New Roman"/>
        </w:rPr>
        <w:t xml:space="preserve"> intervention approaches in the healthcare context are effective or not.</w:t>
      </w:r>
    </w:p>
    <w:p w:rsidR="00E91236" w:rsidRDefault="00000000" w:rsidP="00DE2FCE">
      <w:pPr>
        <w:ind w:firstLine="720"/>
        <w:rPr>
          <w:rFonts w:cs="Times New Roman"/>
        </w:rPr>
      </w:pPr>
      <w:r>
        <w:rPr>
          <w:rFonts w:cs="Times New Roman"/>
        </w:rPr>
        <w:t xml:space="preserve">Patients’ satisfaction is therefore considered an essential marker especially in outpatient healthcare settings, in determining the extent to which healthcare practitioners are implementing </w:t>
      </w:r>
      <w:r>
        <w:rPr>
          <w:rFonts w:cs="Times New Roman"/>
        </w:rPr>
        <w:lastRenderedPageBreak/>
        <w:t>the patient-</w:t>
      </w:r>
      <w:proofErr w:type="spellStart"/>
      <w:r>
        <w:rPr>
          <w:rFonts w:cs="Times New Roman"/>
        </w:rPr>
        <w:t>centered</w:t>
      </w:r>
      <w:proofErr w:type="spellEnd"/>
      <w:r>
        <w:rPr>
          <w:rFonts w:cs="Times New Roman"/>
        </w:rPr>
        <w:t xml:space="preserve"> care model as described by Al-</w:t>
      </w:r>
      <w:proofErr w:type="spellStart"/>
      <w:r>
        <w:rPr>
          <w:rFonts w:cs="Times New Roman"/>
        </w:rPr>
        <w:t>Refaie</w:t>
      </w:r>
      <w:proofErr w:type="spellEnd"/>
      <w:r>
        <w:rPr>
          <w:rFonts w:cs="Times New Roman"/>
        </w:rPr>
        <w:t xml:space="preserve"> et al. (2022). In their Saudi Arabian research, they found out that patient satisfaction gains a significant boost if doctors and nurses are eloquent, specific, and duties enable patients to be participants in the decision-making process. From the study carried out by Al-</w:t>
      </w:r>
      <w:proofErr w:type="spellStart"/>
      <w:r>
        <w:rPr>
          <w:rFonts w:cs="Times New Roman"/>
        </w:rPr>
        <w:t>Refaie</w:t>
      </w:r>
      <w:proofErr w:type="spellEnd"/>
      <w:r>
        <w:rPr>
          <w:rFonts w:cs="Times New Roman"/>
        </w:rPr>
        <w:t xml:space="preserve"> et al, authors report that happy patients are most likely to adhere to their prescribed treatment regimens, attend follow up appointments, and exhibit better general health outcomes. Therefore, patient satisfaction is one of the indicators of patient compliancy as well as patients’ health improvements and quality of care offered. The study also emphasises how important is to assess patient satisfaction regularly so that the principles of PCC can be applied correctly.</w:t>
      </w:r>
    </w:p>
    <w:p w:rsidR="00E91236" w:rsidRDefault="00000000" w:rsidP="00DE2FCE">
      <w:pPr>
        <w:ind w:firstLine="720"/>
        <w:rPr>
          <w:rFonts w:cs="Times New Roman"/>
        </w:rPr>
      </w:pPr>
      <w:r>
        <w:rPr>
          <w:rFonts w:cs="Times New Roman"/>
        </w:rPr>
        <w:t xml:space="preserve">Patient satisfaction is also discussed by Greenhalgh et al. (2020) as the possible link between PCC and patient satisfaction is investigated. Their study said that patients also preferred the idea of a complete presentation of their needs in a tailored manner. To evaluate, Greenhalgh et al. have explained that satisfaction surveys and feedback forms can be used tools to compare patient experiences across the care plans implemented by healthcare professions. They found that several aspects such as increased patient-physician interaction, greater patient-specificity treatment and the patients were involved in decision-making processes had high levels of patient satisfaction. Based on the findings of this study, patient satisfaction constitutes an important measure of delivering and implementing PCC in healthcare institutions and provides useful feedback for enhancing service </w:t>
      </w:r>
      <w:proofErr w:type="gramStart"/>
      <w:r>
        <w:rPr>
          <w:rFonts w:cs="Times New Roman"/>
        </w:rPr>
        <w:t>provision..</w:t>
      </w:r>
      <w:proofErr w:type="gramEnd"/>
    </w:p>
    <w:p w:rsidR="00E91236" w:rsidRDefault="00056DC2" w:rsidP="00DE2FCE">
      <w:pPr>
        <w:ind w:firstLine="720"/>
        <w:rPr>
          <w:rFonts w:cs="Times New Roman"/>
          <w:lang w:val="en-US"/>
        </w:rPr>
      </w:pPr>
      <w:r w:rsidRPr="00056DC2">
        <w:rPr>
          <w:rFonts w:cs="Times New Roman"/>
        </w:rPr>
        <w:t>Amidst the bustling city streets, a platform reverberates with the noise, blending into a boisterous symphony. Those palaces below begin to receive their futuristic attire as well, while the momentary ray ships of tall residences gaze redly into the night sky. Every single one of these individuals is a lone ranger in the middle of all the commotion as you watch them go between buildings. Your nostrils are still filled with an enticing mixture of scents from cooking food and engine exhaust. There must be nothing but vitality pulsing through the city after such a hectic and bewildered existence—just a pure pulse that outpaces all other messages</w:t>
      </w:r>
      <w:r>
        <w:rPr>
          <w:rFonts w:cs="Times New Roman"/>
        </w:rPr>
        <w:t>.</w:t>
      </w:r>
    </w:p>
    <w:p w:rsidR="00E91236" w:rsidRDefault="00000000">
      <w:pPr>
        <w:rPr>
          <w:rFonts w:cs="Times New Roman"/>
        </w:rPr>
      </w:pPr>
      <w:r>
        <w:rPr>
          <w:rFonts w:cs="Times New Roman"/>
        </w:rPr>
        <w:t xml:space="preserve">Larson et al. (2019) outlined a framework of the interrelationships between patient satisfaction measures and quality of care. This framework specifies the relationship between the spanning of strengths and weaknesses of care that can focus on meeting patient needs, expectations, and values, </w:t>
      </w:r>
      <w:r>
        <w:rPr>
          <w:rFonts w:cs="Times New Roman"/>
        </w:rPr>
        <w:lastRenderedPageBreak/>
        <w:t>and the impact on health outcomes and satisfaction with care. The framework is presented below as figure 1:</w:t>
      </w:r>
    </w:p>
    <w:p w:rsidR="00E91236" w:rsidRDefault="00E91236">
      <w:pPr>
        <w:rPr>
          <w:rFonts w:cs="Times New Roman"/>
          <w:b/>
        </w:rPr>
      </w:pPr>
    </w:p>
    <w:p w:rsidR="00E91236" w:rsidRDefault="00000000">
      <w:pPr>
        <w:rPr>
          <w:rFonts w:cs="Times New Roman"/>
          <w:b/>
        </w:rPr>
      </w:pPr>
      <w:r>
        <w:rPr>
          <w:rFonts w:cs="Times New Roman"/>
          <w:b/>
        </w:rPr>
        <w:t>Figure 2.3: Inter-relationship between health system quality and responsiveness and patient-</w:t>
      </w:r>
      <w:proofErr w:type="spellStart"/>
      <w:r>
        <w:rPr>
          <w:rFonts w:cs="Times New Roman"/>
          <w:b/>
        </w:rPr>
        <w:t>centered</w:t>
      </w:r>
      <w:proofErr w:type="spellEnd"/>
      <w:r>
        <w:rPr>
          <w:rFonts w:cs="Times New Roman"/>
          <w:b/>
        </w:rPr>
        <w:t xml:space="preserve"> care</w:t>
      </w:r>
    </w:p>
    <w:p w:rsidR="00E91236" w:rsidRDefault="00000000">
      <w:pPr>
        <w:rPr>
          <w:rFonts w:cs="Times New Roman"/>
          <w:b/>
        </w:rPr>
      </w:pPr>
      <w:r>
        <w:rPr>
          <w:rFonts w:cs="Times New Roman"/>
          <w:b/>
          <w:noProof/>
          <w:lang w:val="en-US"/>
        </w:rPr>
        <w:drawing>
          <wp:inline distT="0" distB="0" distL="0" distR="0">
            <wp:extent cx="5486400" cy="3200400"/>
            <wp:effectExtent l="38100" t="38100" r="114300" b="114300"/>
            <wp:docPr id="1028"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91236" w:rsidRDefault="00000000">
      <w:pPr>
        <w:pStyle w:val="Heading5"/>
        <w:rPr>
          <w:rFonts w:cs="Times New Roman"/>
        </w:rPr>
      </w:pPr>
      <w:r>
        <w:rPr>
          <w:rFonts w:cs="Times New Roman"/>
        </w:rPr>
        <w:t>2.2.4.1. Factors influencing Patient Satisfaction</w:t>
      </w:r>
    </w:p>
    <w:p w:rsidR="00E91236" w:rsidRDefault="00000000" w:rsidP="00DE2FCE">
      <w:pPr>
        <w:ind w:firstLine="720"/>
        <w:rPr>
          <w:rFonts w:cs="Times New Roman"/>
        </w:rPr>
      </w:pPr>
      <w:r>
        <w:rPr>
          <w:rFonts w:cs="Times New Roman"/>
        </w:rPr>
        <w:t xml:space="preserve">Patient satisfaction relies on many factors inside the healthcare setting. These include convenience and affordability; nursing and staff care; fulfilment of the clinical need; </w:t>
      </w:r>
      <w:r w:rsidR="003A32DC" w:rsidRPr="003A32DC">
        <w:rPr>
          <w:rFonts w:cs="Times New Roman"/>
        </w:rPr>
        <w:t>administrative and registration processes</w:t>
      </w:r>
      <w:r>
        <w:rPr>
          <w:rFonts w:cs="Times New Roman"/>
        </w:rPr>
        <w:t xml:space="preserve">; infrastructure and amenities; general and professional </w:t>
      </w:r>
      <w:proofErr w:type="spellStart"/>
      <w:r>
        <w:rPr>
          <w:rFonts w:cs="Times New Roman"/>
        </w:rPr>
        <w:t>behavior</w:t>
      </w:r>
      <w:proofErr w:type="spellEnd"/>
      <w:r>
        <w:rPr>
          <w:rFonts w:cs="Times New Roman"/>
        </w:rPr>
        <w:t xml:space="preserve"> of doctors; and OPD and reception facilities (Kamra, Singh &amp; Kumar De, 2016). In the outpatient setting, factors such as prolonged waiting and consultation times, and staff </w:t>
      </w:r>
      <w:proofErr w:type="spellStart"/>
      <w:r>
        <w:rPr>
          <w:rFonts w:cs="Times New Roman"/>
        </w:rPr>
        <w:t>behavior</w:t>
      </w:r>
      <w:proofErr w:type="spellEnd"/>
      <w:r>
        <w:rPr>
          <w:rFonts w:cs="Times New Roman"/>
        </w:rPr>
        <w:t>, can influence patient satisfaction negatively (Al-</w:t>
      </w:r>
      <w:proofErr w:type="spellStart"/>
      <w:r>
        <w:rPr>
          <w:rFonts w:cs="Times New Roman"/>
        </w:rPr>
        <w:t>Harajin</w:t>
      </w:r>
      <w:proofErr w:type="spellEnd"/>
      <w:r>
        <w:rPr>
          <w:rFonts w:cs="Times New Roman"/>
        </w:rPr>
        <w:t xml:space="preserve">, Al-Subaie &amp; </w:t>
      </w:r>
      <w:proofErr w:type="spellStart"/>
      <w:r>
        <w:rPr>
          <w:rFonts w:cs="Times New Roman"/>
        </w:rPr>
        <w:t>Elzubair</w:t>
      </w:r>
      <w:proofErr w:type="spellEnd"/>
      <w:r>
        <w:rPr>
          <w:rFonts w:cs="Times New Roman"/>
        </w:rPr>
        <w:t xml:space="preserve">, 2019; </w:t>
      </w:r>
      <w:proofErr w:type="spellStart"/>
      <w:r>
        <w:rPr>
          <w:rFonts w:cs="Times New Roman"/>
        </w:rPr>
        <w:t>Alnemer</w:t>
      </w:r>
      <w:proofErr w:type="spellEnd"/>
      <w:r>
        <w:rPr>
          <w:rFonts w:cs="Times New Roman"/>
        </w:rPr>
        <w:t xml:space="preserve"> et al., 2015; </w:t>
      </w:r>
      <w:proofErr w:type="spellStart"/>
      <w:r>
        <w:rPr>
          <w:rFonts w:cs="Times New Roman"/>
        </w:rPr>
        <w:t>Alahmari</w:t>
      </w:r>
      <w:proofErr w:type="spellEnd"/>
      <w:r>
        <w:rPr>
          <w:rFonts w:cs="Times New Roman"/>
        </w:rPr>
        <w:t xml:space="preserve"> et al., 2015). </w:t>
      </w:r>
    </w:p>
    <w:p w:rsidR="00E91236" w:rsidRDefault="00000000">
      <w:pPr>
        <w:rPr>
          <w:rFonts w:cs="Times New Roman"/>
        </w:rPr>
      </w:pPr>
      <w:r>
        <w:rPr>
          <w:rFonts w:cs="Times New Roman"/>
        </w:rPr>
        <w:t>Other factors which have been found to influence patient satisfaction include the relationship hospital personnel foster with patients (</w:t>
      </w:r>
      <w:proofErr w:type="spellStart"/>
      <w:r>
        <w:rPr>
          <w:rFonts w:cs="Times New Roman"/>
        </w:rPr>
        <w:t>Farzianpour</w:t>
      </w:r>
      <w:proofErr w:type="spellEnd"/>
      <w:r>
        <w:rPr>
          <w:rFonts w:cs="Times New Roman"/>
        </w:rPr>
        <w:t xml:space="preserve">, </w:t>
      </w:r>
      <w:proofErr w:type="spellStart"/>
      <w:r>
        <w:rPr>
          <w:rFonts w:cs="Times New Roman"/>
        </w:rPr>
        <w:t>Byravan</w:t>
      </w:r>
      <w:proofErr w:type="spellEnd"/>
      <w:r>
        <w:rPr>
          <w:rFonts w:cs="Times New Roman"/>
        </w:rPr>
        <w:t xml:space="preserve"> &amp; Amirian, 2015; Heydari &amp; Seydi, 2008); certain patient characteristics (</w:t>
      </w:r>
      <w:proofErr w:type="spellStart"/>
      <w:r>
        <w:rPr>
          <w:rFonts w:cs="Times New Roman"/>
        </w:rPr>
        <w:t>Sadjadian</w:t>
      </w:r>
      <w:proofErr w:type="spellEnd"/>
      <w:r>
        <w:rPr>
          <w:rFonts w:cs="Times New Roman"/>
        </w:rPr>
        <w:t xml:space="preserve"> et al., 2004); and hospital factors such as </w:t>
      </w:r>
      <w:r>
        <w:rPr>
          <w:rFonts w:cs="Times New Roman"/>
        </w:rPr>
        <w:lastRenderedPageBreak/>
        <w:t xml:space="preserve">cleanliness and waiting times (Heydari &amp; Seydi, 2008; </w:t>
      </w:r>
      <w:proofErr w:type="spellStart"/>
      <w:r>
        <w:rPr>
          <w:rFonts w:cs="Times New Roman"/>
        </w:rPr>
        <w:t>Bjertnaes</w:t>
      </w:r>
      <w:proofErr w:type="spellEnd"/>
      <w:r>
        <w:rPr>
          <w:rFonts w:cs="Times New Roman"/>
        </w:rPr>
        <w:t xml:space="preserve"> et al., 2011), and type of hospital as well as unit of hospitalization (Lagu et al., 2018). </w:t>
      </w:r>
    </w:p>
    <w:p w:rsidR="00E91236" w:rsidRDefault="00000000" w:rsidP="00DE2FCE">
      <w:pPr>
        <w:ind w:firstLine="720"/>
        <w:rPr>
          <w:rFonts w:cs="Times New Roman"/>
        </w:rPr>
      </w:pPr>
      <w:r>
        <w:rPr>
          <w:rFonts w:cs="Times New Roman"/>
        </w:rPr>
        <w:t>Work ethic and treatment provided by HCPs can have a significant impact on patient satisfaction as well. One study found that timely attending of patient by a nurse, patient handling and nutritional care provision, as well as speed of admission and filing process were positive predictors for high patient satisfaction (</w:t>
      </w:r>
      <w:proofErr w:type="spellStart"/>
      <w:r>
        <w:rPr>
          <w:rFonts w:cs="Times New Roman"/>
        </w:rPr>
        <w:t>Soleimanpour</w:t>
      </w:r>
      <w:proofErr w:type="spellEnd"/>
      <w:r>
        <w:rPr>
          <w:rFonts w:cs="Times New Roman"/>
        </w:rPr>
        <w:t xml:space="preserve"> et al., 2011). Negative patient perception is usually linked with lengthy administrative processes and financial services (</w:t>
      </w:r>
      <w:proofErr w:type="spellStart"/>
      <w:r>
        <w:rPr>
          <w:rFonts w:cs="Times New Roman"/>
        </w:rPr>
        <w:t>Skudal</w:t>
      </w:r>
      <w:proofErr w:type="spellEnd"/>
      <w:r>
        <w:rPr>
          <w:rFonts w:cs="Times New Roman"/>
        </w:rPr>
        <w:t xml:space="preserve"> et al., 2019); hospital processes of admission and discharge are usually time-consuming and agonizing for patients who need acute care. Hospital environment which fosters healing has also been described as an index for patient satisfaction in some studies (</w:t>
      </w:r>
      <w:proofErr w:type="spellStart"/>
      <w:r>
        <w:rPr>
          <w:rFonts w:cs="Times New Roman"/>
        </w:rPr>
        <w:t>Riiskjaer</w:t>
      </w:r>
      <w:proofErr w:type="spellEnd"/>
      <w:r>
        <w:rPr>
          <w:rFonts w:cs="Times New Roman"/>
        </w:rPr>
        <w:t xml:space="preserve">, Ammentorp &amp; Kofoed, 2019). </w:t>
      </w:r>
    </w:p>
    <w:p w:rsidR="00E91236" w:rsidRDefault="00000000" w:rsidP="00DE2FCE">
      <w:pPr>
        <w:ind w:firstLine="720"/>
        <w:rPr>
          <w:rFonts w:cs="Times New Roman"/>
        </w:rPr>
      </w:pPr>
      <w:r>
        <w:rPr>
          <w:rFonts w:cs="Times New Roman"/>
        </w:rPr>
        <w:t>The ability of HCPs to provide patient-</w:t>
      </w:r>
      <w:proofErr w:type="spellStart"/>
      <w:r>
        <w:rPr>
          <w:rFonts w:cs="Times New Roman"/>
        </w:rPr>
        <w:t>centered</w:t>
      </w:r>
      <w:proofErr w:type="spellEnd"/>
      <w:r>
        <w:rPr>
          <w:rFonts w:cs="Times New Roman"/>
        </w:rPr>
        <w:t xml:space="preserve"> care has long been recognized as a crucial factor for patient satisfaction. In this regard, it can be said that patient satisfaction and PCC are closely interlinked and interdependent; while PCC leads to higher patient satisfaction, patient satisfaction can be understood as a metric for the level and quality of PCC in healthcare settings (Kuipers, Cramm &amp; Nieboer, 2019). This has been shown in several studies, and a systematic review on patient satisfaction with nurse-led triage in the emergency department demonstrated a direct link between patient satisfaction and patient-centeredness of nurses (Rehman &amp; Ali, 2016).</w:t>
      </w:r>
    </w:p>
    <w:p w:rsidR="00E91236" w:rsidRDefault="00000000" w:rsidP="00DE2FCE">
      <w:pPr>
        <w:ind w:firstLine="720"/>
        <w:rPr>
          <w:rFonts w:cs="Times New Roman"/>
        </w:rPr>
      </w:pPr>
      <w:r>
        <w:rPr>
          <w:rFonts w:cs="Times New Roman"/>
        </w:rPr>
        <w:t xml:space="preserve">Satisfaction is also dependent on the facility where healthcare services are being provided. For instance, in a systematic review of patient satisfaction in primary care sector in Saudi Arabia, an interesting contradiction was noted between patient’s perceived satisfaction and their actual experience. Most of the patients who indicated satisfaction with primary care still attended the emergency department for the same complaint, indicating that their satisfaction with services did not equate to resolution of their clinical complaint (Senitan, </w:t>
      </w:r>
      <w:proofErr w:type="spellStart"/>
      <w:r>
        <w:rPr>
          <w:rFonts w:cs="Times New Roman"/>
        </w:rPr>
        <w:t>Alhaiti</w:t>
      </w:r>
      <w:proofErr w:type="spellEnd"/>
      <w:r>
        <w:rPr>
          <w:rFonts w:cs="Times New Roman"/>
        </w:rPr>
        <w:t xml:space="preserve"> &amp; Gillespie, 2018). This has been previously pointed out as well, that patient-</w:t>
      </w:r>
      <w:proofErr w:type="spellStart"/>
      <w:r>
        <w:rPr>
          <w:rFonts w:cs="Times New Roman"/>
        </w:rPr>
        <w:t>centered</w:t>
      </w:r>
      <w:proofErr w:type="spellEnd"/>
      <w:r>
        <w:rPr>
          <w:rFonts w:cs="Times New Roman"/>
        </w:rPr>
        <w:t xml:space="preserve"> care may not necessarily be equal to patient satisfaction, as fulfilling patients’ demands to satisfy them is not always clinically wise (Kupfer &amp; Bond, 2019). In the primary care systematic review, factors which influenced satisfaction scores included communication between physicians and patients; relational conduct in terms of reassurance, mutual respect, support, and time; personal qualities of HCP such as friendliness and courtesy; technical skills and knowledge; and availability and accessibility (Senitan, </w:t>
      </w:r>
      <w:proofErr w:type="spellStart"/>
      <w:r>
        <w:rPr>
          <w:rFonts w:cs="Times New Roman"/>
        </w:rPr>
        <w:t>Alhaiti</w:t>
      </w:r>
      <w:proofErr w:type="spellEnd"/>
      <w:r>
        <w:rPr>
          <w:rFonts w:cs="Times New Roman"/>
        </w:rPr>
        <w:t xml:space="preserve"> &amp; Gillespie, 2018).</w:t>
      </w:r>
    </w:p>
    <w:p w:rsidR="00E91236" w:rsidRDefault="00000000" w:rsidP="00DE2FCE">
      <w:pPr>
        <w:ind w:firstLine="720"/>
        <w:rPr>
          <w:rFonts w:cs="Times New Roman"/>
        </w:rPr>
      </w:pPr>
      <w:r>
        <w:rPr>
          <w:rFonts w:cs="Times New Roman"/>
        </w:rPr>
        <w:lastRenderedPageBreak/>
        <w:t>Most of the factors which influence</w:t>
      </w:r>
      <w:r w:rsidR="003A32DC">
        <w:rPr>
          <w:rFonts w:cs="Times New Roman"/>
        </w:rPr>
        <w:t>d</w:t>
      </w:r>
      <w:r>
        <w:rPr>
          <w:rFonts w:cs="Times New Roman"/>
        </w:rPr>
        <w:t xml:space="preserve"> patient satisfaction fall outside the domain of HCPs and rely on administrative tasking or patient demographics. It has been shown that healthcare providers offering individualized care can affect patient’s perceptions through the notion of shared decision-making (</w:t>
      </w:r>
      <w:proofErr w:type="spellStart"/>
      <w:r>
        <w:rPr>
          <w:rFonts w:cs="Times New Roman"/>
        </w:rPr>
        <w:t>Köberich</w:t>
      </w:r>
      <w:proofErr w:type="spellEnd"/>
      <w:r>
        <w:rPr>
          <w:rFonts w:cs="Times New Roman"/>
        </w:rPr>
        <w:t xml:space="preserve">, Feuchtinger &amp; Farin, 2016). Similarly, HCP attitude and communication level and patient’s trust are key factors in determining patient satisfaction (Chandra, Ward &amp; </w:t>
      </w:r>
      <w:proofErr w:type="spellStart"/>
      <w:r>
        <w:rPr>
          <w:rFonts w:cs="Times New Roman"/>
        </w:rPr>
        <w:t>Mohammadnezhad</w:t>
      </w:r>
      <w:proofErr w:type="spellEnd"/>
      <w:r>
        <w:rPr>
          <w:rFonts w:cs="Times New Roman"/>
        </w:rPr>
        <w:t>, 2019). Therefore, even though HCPs have limited control over influencing patient satisfaction, they can collaborate with health service managers to strategize how both provider and administration related factors can be mitigated and improved.</w:t>
      </w:r>
    </w:p>
    <w:p w:rsidR="00E91236" w:rsidRDefault="00000000">
      <w:pPr>
        <w:pStyle w:val="Heading5"/>
        <w:rPr>
          <w:rFonts w:cs="Times New Roman"/>
        </w:rPr>
      </w:pPr>
      <w:r>
        <w:rPr>
          <w:rFonts w:cs="Times New Roman"/>
        </w:rPr>
        <w:t>2.2.4.2. Methods of Determining Patient Satisfaction</w:t>
      </w:r>
    </w:p>
    <w:p w:rsidR="00E91236" w:rsidRDefault="00000000" w:rsidP="00DE2FCE">
      <w:pPr>
        <w:ind w:firstLine="720"/>
        <w:rPr>
          <w:rFonts w:cs="Times New Roman"/>
        </w:rPr>
      </w:pPr>
      <w:r>
        <w:rPr>
          <w:rFonts w:cs="Times New Roman"/>
        </w:rPr>
        <w:t xml:space="preserve">There are several methods of determining patient satisfaction, which can be used both at an individual and at an organizational level. According to the White (1999), patient feedback can be solicited in a variety of ways, such as telephonic surveys, written surveys, focused group discussions (FGDs) or personal interviews; among these, written surveys represent the most efficient and cost-effective approach. With written surveys, the advantage is due to pre-existing questionnaires, which have already been tested and validated, and are therefore less time consuming. The goal of the survey should be to cover major domains defining patient satisfaction i.e., quality issues, accessibility issues, and interpersonal issues (White, 1999). Written surveys for patient satisfaction follow a similar model to surveys for customer satisfaction in corporate marketing. </w:t>
      </w:r>
    </w:p>
    <w:p w:rsidR="00E91236" w:rsidRDefault="00000000" w:rsidP="00056DC2">
      <w:pPr>
        <w:ind w:firstLine="720"/>
        <w:rPr>
          <w:rFonts w:cs="Times New Roman"/>
        </w:rPr>
      </w:pPr>
      <w:r>
        <w:rPr>
          <w:rFonts w:cs="Times New Roman"/>
        </w:rPr>
        <w:t>As a general approach, two types of methods can be used to determine patient satisfaction: qualitative and quantitative. The merits and practical aspects of both are outlined below.</w:t>
      </w:r>
    </w:p>
    <w:p w:rsidR="00E91236" w:rsidRDefault="00000000">
      <w:pPr>
        <w:rPr>
          <w:rFonts w:cs="Times New Roman"/>
        </w:rPr>
      </w:pPr>
      <w:r>
        <w:rPr>
          <w:rFonts w:cs="Times New Roman"/>
          <w:b/>
        </w:rPr>
        <w:t xml:space="preserve">Qualitative Methods: </w:t>
      </w:r>
      <w:r>
        <w:rPr>
          <w:rFonts w:cs="Times New Roman"/>
        </w:rPr>
        <w:t>Qualitative methods are mostly user and interaction dependent, and do not provide metrics for measurement of various satisfaction parameters. However, these methods are much more interactive and involve greater patient participation, with the potential of highlighting subtle issues that may be missed in a methodical quantitative survey.</w:t>
      </w:r>
    </w:p>
    <w:p w:rsidR="00E91236" w:rsidRDefault="00000000" w:rsidP="00056DC2">
      <w:pPr>
        <w:ind w:firstLine="720"/>
        <w:rPr>
          <w:rFonts w:cs="Times New Roman"/>
        </w:rPr>
      </w:pPr>
      <w:r>
        <w:rPr>
          <w:rFonts w:cs="Times New Roman"/>
        </w:rPr>
        <w:t xml:space="preserve">There are a variety of qualitative methods which can be utilized for determining patient satisfaction. These include professional observations regarding satisfaction by the healthcare provider, personal interviews with the patients, or focused group discussions to highlight issues affecting satisfaction (White, 1999; Shirley, Josephson &amp; Sanders, 2016). Qualitative methods are more interactive and can generate higher response rates (Burroughs et al., 2001); however, they </w:t>
      </w:r>
      <w:r>
        <w:rPr>
          <w:rFonts w:cs="Times New Roman"/>
        </w:rPr>
        <w:lastRenderedPageBreak/>
        <w:t xml:space="preserve">are costlier and time consuming, with little validity and reliability, and can be influenced by the </w:t>
      </w:r>
      <w:proofErr w:type="spellStart"/>
      <w:r>
        <w:rPr>
          <w:rFonts w:cs="Times New Roman"/>
        </w:rPr>
        <w:t>behavior</w:t>
      </w:r>
      <w:proofErr w:type="spellEnd"/>
      <w:r>
        <w:rPr>
          <w:rFonts w:cs="Times New Roman"/>
        </w:rPr>
        <w:t xml:space="preserve"> of the healthcare provider during the interview or observation process (</w:t>
      </w:r>
      <w:proofErr w:type="spellStart"/>
      <w:r>
        <w:rPr>
          <w:rFonts w:cs="Times New Roman"/>
        </w:rPr>
        <w:t>Fottler</w:t>
      </w:r>
      <w:proofErr w:type="spellEnd"/>
      <w:r>
        <w:rPr>
          <w:rFonts w:cs="Times New Roman"/>
        </w:rPr>
        <w:t>, Ford &amp; Bach, 1997). For this reason, qualitative methods may be utilized only as a means of developing a quantitative survey. Correlating qualitative input with quantitative ratings of a patient satisfaction survey showed a significant difference between the two; patients who made positive comments in the qualitative aspect were found more likely to have a high mean score on the quantitative scale compared to patients who made negative comments (</w:t>
      </w:r>
      <w:proofErr w:type="spellStart"/>
      <w:r>
        <w:rPr>
          <w:rFonts w:cs="Times New Roman"/>
        </w:rPr>
        <w:t>Santuzzi</w:t>
      </w:r>
      <w:proofErr w:type="spellEnd"/>
      <w:r>
        <w:rPr>
          <w:rFonts w:cs="Times New Roman"/>
        </w:rPr>
        <w:t xml:space="preserve"> et al., 2009). </w:t>
      </w:r>
    </w:p>
    <w:p w:rsidR="00E91236" w:rsidRDefault="00000000">
      <w:pPr>
        <w:rPr>
          <w:rFonts w:cs="Times New Roman"/>
        </w:rPr>
      </w:pPr>
      <w:r>
        <w:rPr>
          <w:rFonts w:cs="Times New Roman"/>
          <w:b/>
        </w:rPr>
        <w:t xml:space="preserve">Quantitative Methods: </w:t>
      </w:r>
      <w:r>
        <w:rPr>
          <w:rFonts w:cs="Times New Roman"/>
        </w:rPr>
        <w:t xml:space="preserve">These methods are more commonly used to collect ongoing satisfaction data, since they are easy to use, less time consuming, and provide a more accurate facsimile of patient experiences which can be then compared among different patients as well (Shirley, Josephson &amp; Sanders, 2016). In quantitative methods, either a single global measure or multiple domains can be used to determine satisfaction scores. With the former technique, it can be difficult to determine what factors influenced satisfaction; therefore, multi-domain constructs are more commonly used in questionnaires and surveys to determine patient satisfaction (Beattie et al., 2014). </w:t>
      </w:r>
    </w:p>
    <w:p w:rsidR="00E91236" w:rsidRDefault="00000000" w:rsidP="00056DC2">
      <w:pPr>
        <w:ind w:firstLine="720"/>
        <w:rPr>
          <w:rFonts w:cs="Times New Roman"/>
        </w:rPr>
      </w:pPr>
      <w:r>
        <w:rPr>
          <w:rFonts w:cs="Times New Roman"/>
        </w:rPr>
        <w:t xml:space="preserve">Several distinct domains can be measured using quantitative tools. These include interpersonal skills, technical quality of care, accessibility and availability, physical environment of the healthcare setting, and outcomes of care. As discussed above these domains represent various factors which have been shown to impact patient satisfaction (Shirley, Josephson &amp; Sanders, 2016). Compared to global measure surveys, multi-dimensional surveys are relatively time-consuming, but provide a richer overview of patient and healthcare setting characteristics. </w:t>
      </w:r>
    </w:p>
    <w:p w:rsidR="00E91236" w:rsidRDefault="00000000" w:rsidP="00056DC2">
      <w:pPr>
        <w:ind w:firstLine="720"/>
        <w:rPr>
          <w:rFonts w:cs="Times New Roman"/>
          <w:b/>
        </w:rPr>
      </w:pPr>
      <w:r>
        <w:rPr>
          <w:rFonts w:cs="Times New Roman"/>
        </w:rPr>
        <w:t>Quantitative surveys can be conducted by phone, over the internet, or in person as written surveys (White, 1999). These surveys can be both generic or disease specific and can use multiple response formats to determine satisfaction i.e., binary yes-no formats, or Likert-point scales which can be converted into numerical values as well using statistical analysis software (Clark, 2003).</w:t>
      </w:r>
      <w:r>
        <w:rPr>
          <w:rFonts w:cs="Times New Roman"/>
          <w:b/>
        </w:rPr>
        <w:t xml:space="preserve"> </w:t>
      </w:r>
    </w:p>
    <w:p w:rsidR="00E91236" w:rsidRDefault="00000000" w:rsidP="00056DC2">
      <w:pPr>
        <w:ind w:firstLine="720"/>
        <w:rPr>
          <w:rFonts w:cs="Times New Roman"/>
        </w:rPr>
      </w:pPr>
      <w:r>
        <w:rPr>
          <w:rFonts w:cs="Times New Roman"/>
        </w:rPr>
        <w:t>There are certain caveats to look for before conducting quantitative surveys to determine patient satisfaction. Measurement tools need to be valid and reliable in order to ensure reproducibility of results, which can be used to implement change in care settings (</w:t>
      </w:r>
      <w:proofErr w:type="spellStart"/>
      <w:r>
        <w:rPr>
          <w:rFonts w:cs="Times New Roman"/>
        </w:rPr>
        <w:t>Urden</w:t>
      </w:r>
      <w:proofErr w:type="spellEnd"/>
      <w:r>
        <w:rPr>
          <w:rFonts w:cs="Times New Roman"/>
        </w:rPr>
        <w:t xml:space="preserve">, 2002). Questionnaires can be limited by several kinds of bias, such as recall bias, satisficing, central tendency bias, and social desirability or deviation (Shirley, Josephson &amp; Sanders, 2016). </w:t>
      </w:r>
      <w:r>
        <w:rPr>
          <w:rFonts w:cs="Times New Roman"/>
        </w:rPr>
        <w:lastRenderedPageBreak/>
        <w:t>Sometimes survey instruments may be insufficiently sensitive, or may measure the wrong items, or may result in an improvement process which does not directly impact patient satisfaction. In these scenarios, instruments may not bring the desired change in satisfaction levels even after process of improvement is initiated (Shirley, Josephson &amp; Sanders, 2016). Timing of the surveys is also important, as is the method of delivering surveys; handouts given during admission may be scored higher compared to email surveys which were submitted after discharge, as patient satisfaction tends to decline over time once administrative issues overtake medical ones (Bendall-Lyon, Powers &amp; Swan, 2001; Gribble &amp; Haupt, 2005)</w:t>
      </w:r>
    </w:p>
    <w:p w:rsidR="00E91236" w:rsidRDefault="00000000" w:rsidP="00056DC2">
      <w:pPr>
        <w:ind w:firstLine="720"/>
        <w:rPr>
          <w:rFonts w:cs="Times New Roman"/>
        </w:rPr>
      </w:pPr>
      <w:r>
        <w:rPr>
          <w:rFonts w:cs="Times New Roman"/>
        </w:rPr>
        <w:t>Interpretation of survey results is another important factor to consider before implementing change. This interpretation should ideally begin with an examination of the measurement methods i.e., verification of psychometric properties such as validity and reliability (</w:t>
      </w:r>
      <w:proofErr w:type="spellStart"/>
      <w:r>
        <w:rPr>
          <w:rFonts w:cs="Times New Roman"/>
        </w:rPr>
        <w:t>Sitzia</w:t>
      </w:r>
      <w:proofErr w:type="spellEnd"/>
      <w:r>
        <w:rPr>
          <w:rFonts w:cs="Times New Roman"/>
        </w:rPr>
        <w:t>, 1999; Barnett et al., 2018). Secondly, the response rate to the survey must be noted. A response rate of 30% is usually acceptable, and a rate of 50% is considered high, while a rate of 80% is very high (</w:t>
      </w:r>
      <w:proofErr w:type="spellStart"/>
      <w:r>
        <w:rPr>
          <w:rFonts w:cs="Times New Roman"/>
        </w:rPr>
        <w:t>Sitzia</w:t>
      </w:r>
      <w:proofErr w:type="spellEnd"/>
      <w:r>
        <w:rPr>
          <w:rFonts w:cs="Times New Roman"/>
        </w:rPr>
        <w:t>, 1999). Lastly, different theoretic models of data interpretation, including the top-box and the discrepancy model, can be applied to understand the satisfaction data. In the former, the highest rating of a question is used as the basis of comparison, whereas in the latter, the perceived discrepancy between expectations and experience defines satisfaction (Williams, 1994). Results of individualized items can also be used to provide opportunities for improvement.</w:t>
      </w:r>
    </w:p>
    <w:p w:rsidR="00E91236" w:rsidRDefault="00000000">
      <w:pPr>
        <w:pStyle w:val="Heading5"/>
        <w:rPr>
          <w:rFonts w:cs="Times New Roman"/>
        </w:rPr>
      </w:pPr>
      <w:r>
        <w:rPr>
          <w:rFonts w:cs="Times New Roman"/>
        </w:rPr>
        <w:t xml:space="preserve"> 2.2.4.3. Survey Tools for Measuring Patient Satisfaction</w:t>
      </w:r>
    </w:p>
    <w:p w:rsidR="00E91236" w:rsidRDefault="00000000" w:rsidP="00056DC2">
      <w:pPr>
        <w:ind w:firstLine="360"/>
        <w:rPr>
          <w:rFonts w:cs="Times New Roman"/>
        </w:rPr>
      </w:pPr>
      <w:r>
        <w:rPr>
          <w:rFonts w:cs="Times New Roman"/>
        </w:rPr>
        <w:t>A multitude of survey tools have been developed to measure patient satisfaction (Morris et al., 2014). These surveys can be administered either externally i.e., through national bodies, or internally via direct dissemination from hospitals, clinics, and other healthcare settings. Some of the popular patient satisfaction surveys are enumerated below:</w:t>
      </w:r>
    </w:p>
    <w:p w:rsidR="00E91236" w:rsidRDefault="00000000">
      <w:pPr>
        <w:pStyle w:val="ListParagraph"/>
        <w:numPr>
          <w:ilvl w:val="0"/>
          <w:numId w:val="2"/>
        </w:numPr>
        <w:rPr>
          <w:rFonts w:cs="Times New Roman"/>
        </w:rPr>
      </w:pPr>
      <w:r>
        <w:rPr>
          <w:rFonts w:cs="Times New Roman"/>
          <w:b/>
        </w:rPr>
        <w:t>Consumer Assessment of Healthcare Providers and Systems (CAHPS) surveys:</w:t>
      </w:r>
      <w:r>
        <w:rPr>
          <w:rFonts w:cs="Times New Roman"/>
        </w:rPr>
        <w:t xml:space="preserve"> these are generic tools </w:t>
      </w:r>
      <w:r w:rsidR="00D649D1">
        <w:rPr>
          <w:rFonts w:cs="Times New Roman"/>
        </w:rPr>
        <w:t>made</w:t>
      </w:r>
      <w:r>
        <w:rPr>
          <w:rFonts w:cs="Times New Roman"/>
        </w:rPr>
        <w:t xml:space="preserve"> by the Agency for Healthcare Research and Quality (AHRQ). Disseminated by the Centre for Medicare and Medicaid Services in the US, these surveys assess patient experiences in a variety of settings, including ambulatory care, surgical and medical care, health plans etc. The aim of the surveys is to use validated items as well as supplemental items to record certain practices (such as communication, cleanliness) during </w:t>
      </w:r>
      <w:r>
        <w:rPr>
          <w:rFonts w:cs="Times New Roman"/>
        </w:rPr>
        <w:lastRenderedPageBreak/>
        <w:t xml:space="preserve">the care period, to obtain an objective overview of the complete patient experience (US Department of Health and Human Services, 2019). </w:t>
      </w:r>
    </w:p>
    <w:p w:rsidR="00E91236" w:rsidRDefault="00000000">
      <w:pPr>
        <w:pStyle w:val="ListParagraph"/>
        <w:numPr>
          <w:ilvl w:val="0"/>
          <w:numId w:val="2"/>
        </w:numPr>
        <w:rPr>
          <w:rFonts w:cs="Times New Roman"/>
        </w:rPr>
      </w:pPr>
      <w:r>
        <w:rPr>
          <w:rFonts w:cs="Times New Roman"/>
          <w:b/>
        </w:rPr>
        <w:t>Patient Satisfaction Questionnaire:</w:t>
      </w:r>
      <w:r>
        <w:rPr>
          <w:rFonts w:cs="Times New Roman"/>
        </w:rPr>
        <w:t xml:space="preserve"> This survey divides patient satisfaction into six domains of care, represented by 47 survey items. The domains include access to care; technical quality of care; availability of services; interpersonal care; communication; and financial domain (Ware, Snyder &amp; Wright, 1976). Shorter forms of this questionnaire exist, </w:t>
      </w:r>
      <w:proofErr w:type="spellStart"/>
      <w:r w:rsidR="00D649D1">
        <w:rPr>
          <w:rFonts w:cs="Times New Roman"/>
        </w:rPr>
        <w:t>i.e</w:t>
      </w:r>
      <w:proofErr w:type="spellEnd"/>
      <w:r w:rsidR="00D649D1">
        <w:rPr>
          <w:rFonts w:cs="Times New Roman"/>
        </w:rPr>
        <w:t>,</w:t>
      </w:r>
      <w:r>
        <w:rPr>
          <w:rFonts w:cs="Times New Roman"/>
        </w:rPr>
        <w:t xml:space="preserve"> Patient Satisfaction Questionnaire-18 (PSQ-18), which is a valid and reproducible tool measuring seven dimension of patient satisfaction i.e., </w:t>
      </w:r>
      <w:r w:rsidR="00D649D1" w:rsidRPr="00D649D1">
        <w:rPr>
          <w:rFonts w:cs="Times New Roman"/>
        </w:rPr>
        <w:t>overall happiness, technical proficiency, interpersonal style, communication, budgetary considerations, doctor visit duration, and accessibility and convenience</w:t>
      </w:r>
      <w:r>
        <w:rPr>
          <w:rFonts w:cs="Times New Roman"/>
        </w:rPr>
        <w:t xml:space="preserve"> (Marshall &amp; Hays, 1994; Thayaparan &amp; Mahdi, 2018).</w:t>
      </w:r>
    </w:p>
    <w:p w:rsidR="00E91236" w:rsidRDefault="00000000">
      <w:pPr>
        <w:pStyle w:val="ListParagraph"/>
        <w:numPr>
          <w:ilvl w:val="0"/>
          <w:numId w:val="2"/>
        </w:numPr>
        <w:rPr>
          <w:rFonts w:cs="Times New Roman"/>
        </w:rPr>
      </w:pPr>
      <w:r>
        <w:rPr>
          <w:rFonts w:cs="Times New Roman"/>
          <w:b/>
        </w:rPr>
        <w:t xml:space="preserve">Client Satisfaction Questionnaire (CSQ-18): </w:t>
      </w:r>
      <w:r>
        <w:rPr>
          <w:rFonts w:cs="Times New Roman"/>
        </w:rPr>
        <w:t>This is a generic multidimensional measure which assesses satisfaction with healthcare services using 18 items. It validates the patient’s experience across various domains such as general satisfaction, physical surroundings, technical aspects of care, and interpersonal communication (Larsen et al., 1979).</w:t>
      </w:r>
    </w:p>
    <w:p w:rsidR="00E91236" w:rsidRDefault="00000000">
      <w:pPr>
        <w:pStyle w:val="ListParagraph"/>
        <w:numPr>
          <w:ilvl w:val="0"/>
          <w:numId w:val="2"/>
        </w:numPr>
        <w:rPr>
          <w:rFonts w:cs="Times New Roman"/>
        </w:rPr>
      </w:pPr>
      <w:r>
        <w:rPr>
          <w:rFonts w:cs="Times New Roman"/>
          <w:b/>
        </w:rPr>
        <w:t>Other Surveys:</w:t>
      </w:r>
      <w:r>
        <w:rPr>
          <w:rFonts w:cs="Times New Roman"/>
        </w:rPr>
        <w:t xml:space="preserve"> These include the Short Assessment of Patient Satisfaction (SAPS) scale, which is a generic measure with wide applicability, and requires a short time to complete because it has just 7 items (Hawthorne et al., 2014). Other validated generic measures include Patient Satisfaction Index (PSI), which has 23 items (Guyatt et al., 1995), and the Consultation Satisfaction Questionnaire, which has 18 items assessing clinical consultations (Baker, 1990), among others.  </w:t>
      </w:r>
    </w:p>
    <w:p w:rsidR="00E91236" w:rsidRDefault="00000000" w:rsidP="00056DC2">
      <w:pPr>
        <w:ind w:firstLine="360"/>
        <w:rPr>
          <w:rFonts w:cs="Times New Roman"/>
        </w:rPr>
      </w:pPr>
      <w:r>
        <w:rPr>
          <w:rFonts w:cs="Times New Roman"/>
        </w:rPr>
        <w:t>Since a single standardized measurement tool does not exist, there is no</w:t>
      </w:r>
      <w:r w:rsidR="00D649D1">
        <w:rPr>
          <w:rFonts w:cs="Times New Roman"/>
        </w:rPr>
        <w:t xml:space="preserve"> </w:t>
      </w:r>
      <w:r>
        <w:rPr>
          <w:rFonts w:cs="Times New Roman"/>
        </w:rPr>
        <w:t>standard</w:t>
      </w:r>
      <w:r w:rsidR="00D649D1">
        <w:rPr>
          <w:rFonts w:cs="Times New Roman"/>
        </w:rPr>
        <w:t>ized</w:t>
      </w:r>
      <w:r>
        <w:rPr>
          <w:rFonts w:cs="Times New Roman"/>
        </w:rPr>
        <w:t xml:space="preserve"> tool to use in all situations, and therefore selecting a survey tool to determine patient satisfaction can be a difficult task (Espinel et al., 2014). For this reason, hospitals and care settings might employ </w:t>
      </w:r>
      <w:r w:rsidR="00D649D1" w:rsidRPr="00D649D1">
        <w:rPr>
          <w:rFonts w:cs="Times New Roman"/>
        </w:rPr>
        <w:t>instruments created internally</w:t>
      </w:r>
      <w:r>
        <w:rPr>
          <w:rFonts w:cs="Times New Roman"/>
        </w:rPr>
        <w:t xml:space="preserve">, which are either </w:t>
      </w:r>
      <w:r w:rsidR="00D649D1">
        <w:rPr>
          <w:rFonts w:cs="Times New Roman"/>
        </w:rPr>
        <w:t>developing</w:t>
      </w:r>
      <w:r>
        <w:rPr>
          <w:rFonts w:cs="Times New Roman"/>
        </w:rPr>
        <w:t xml:space="preserve"> </w:t>
      </w:r>
      <w:r>
        <w:rPr>
          <w:rFonts w:cs="Times New Roman"/>
          <w:i/>
        </w:rPr>
        <w:t>de novo</w:t>
      </w:r>
      <w:r>
        <w:rPr>
          <w:rFonts w:cs="Times New Roman"/>
        </w:rPr>
        <w:t xml:space="preserve"> or import questions from pre-existing validated surveys (Al-Abri &amp; Al-Balushi, 2014). Although this can appear tempting, the process of creating an instrument and validating it is time-consuming, and for accurate measurement of satisfaction it is better to use tools with validated psychometric properties (Barnett et al., 2018). </w:t>
      </w:r>
    </w:p>
    <w:p w:rsidR="00E91236" w:rsidRDefault="00000000">
      <w:pPr>
        <w:pStyle w:val="Heading5"/>
        <w:rPr>
          <w:rFonts w:cs="Times New Roman"/>
        </w:rPr>
      </w:pPr>
      <w:r>
        <w:rPr>
          <w:rFonts w:cs="Times New Roman"/>
        </w:rPr>
        <w:lastRenderedPageBreak/>
        <w:t>2.2.4.4. Selection of Survey Tool</w:t>
      </w:r>
    </w:p>
    <w:p w:rsidR="00E91236" w:rsidRDefault="00000000">
      <w:pPr>
        <w:rPr>
          <w:rFonts w:cs="Times New Roman"/>
        </w:rPr>
      </w:pPr>
      <w:r>
        <w:rPr>
          <w:rFonts w:cs="Times New Roman"/>
        </w:rPr>
        <w:t>There are certain factors to consider when choosing an ideal survey tool. These include:</w:t>
      </w:r>
    </w:p>
    <w:p w:rsidR="00E91236" w:rsidRDefault="00000000">
      <w:pPr>
        <w:pStyle w:val="ListParagraph"/>
        <w:numPr>
          <w:ilvl w:val="0"/>
          <w:numId w:val="3"/>
        </w:numPr>
        <w:rPr>
          <w:rFonts w:cs="Times New Roman"/>
        </w:rPr>
      </w:pPr>
      <w:r>
        <w:rPr>
          <w:rFonts w:cs="Times New Roman"/>
          <w:b/>
        </w:rPr>
        <w:t xml:space="preserve">It covers all the domains of interest: </w:t>
      </w:r>
      <w:r>
        <w:rPr>
          <w:rFonts w:cs="Times New Roman"/>
        </w:rPr>
        <w:t>these domains may include access to care; care environment; doctor-patient relationship; provision of health information; technical quality of care; general satisfaction; shared decision-making; and treatment efficacy relative to patient expectations (Hardy, West &amp; Hill, 1996; Shirley, Josephson &amp; Sanders, 2016; Larsen et al., 1979).</w:t>
      </w:r>
    </w:p>
    <w:p w:rsidR="00E91236" w:rsidRDefault="00000000">
      <w:pPr>
        <w:pStyle w:val="ListParagraph"/>
        <w:numPr>
          <w:ilvl w:val="0"/>
          <w:numId w:val="3"/>
        </w:numPr>
        <w:rPr>
          <w:rFonts w:cs="Times New Roman"/>
        </w:rPr>
      </w:pPr>
      <w:r>
        <w:rPr>
          <w:rFonts w:cs="Times New Roman"/>
          <w:b/>
        </w:rPr>
        <w:t xml:space="preserve">It measures what patients actually experienced: </w:t>
      </w:r>
      <w:r>
        <w:rPr>
          <w:rFonts w:cs="Times New Roman"/>
        </w:rPr>
        <w:t>certain surveys measure patients’ perception or opinions regarding their experience, instead of measuring the actual experience, which is undesirable (Coulter, Fitzpatrick &amp; Cornwell, 2009).</w:t>
      </w:r>
    </w:p>
    <w:p w:rsidR="00E91236" w:rsidRDefault="00000000">
      <w:pPr>
        <w:pStyle w:val="ListParagraph"/>
        <w:numPr>
          <w:ilvl w:val="0"/>
          <w:numId w:val="3"/>
        </w:numPr>
        <w:rPr>
          <w:rFonts w:cs="Times New Roman"/>
          <w:b/>
        </w:rPr>
      </w:pPr>
      <w:r>
        <w:rPr>
          <w:rFonts w:cs="Times New Roman"/>
          <w:b/>
        </w:rPr>
        <w:t>Cost-effective and easy to administer.</w:t>
      </w:r>
    </w:p>
    <w:p w:rsidR="00E91236" w:rsidRDefault="00000000">
      <w:pPr>
        <w:pStyle w:val="ListParagraph"/>
        <w:numPr>
          <w:ilvl w:val="0"/>
          <w:numId w:val="3"/>
        </w:numPr>
        <w:rPr>
          <w:rFonts w:cs="Times New Roman"/>
        </w:rPr>
      </w:pPr>
      <w:r>
        <w:rPr>
          <w:rFonts w:cs="Times New Roman"/>
          <w:b/>
        </w:rPr>
        <w:t>Should have validated psychometric properties</w:t>
      </w:r>
      <w:r>
        <w:rPr>
          <w:rFonts w:cs="Times New Roman"/>
        </w:rPr>
        <w:t xml:space="preserve"> (validity, reliability, acceptability) and educational impact (Shirley, Josephson &amp; Sanders, 2016)</w:t>
      </w:r>
    </w:p>
    <w:p w:rsidR="00E91236" w:rsidRDefault="00000000" w:rsidP="00056DC2">
      <w:pPr>
        <w:ind w:firstLine="420"/>
        <w:rPr>
          <w:rFonts w:cs="Times New Roman"/>
        </w:rPr>
      </w:pPr>
      <w:r>
        <w:rPr>
          <w:rFonts w:cs="Times New Roman"/>
        </w:rPr>
        <w:t>Choosing the right quantitative survey method to determine patient satisfaction can be, therefore, daunting. A clear-cut framework of variables that need to be measured and domains which need to be assessed should be made before selecting any method for measuring patient satisfaction, and clinicians and administrators must be cognizant of this.</w:t>
      </w:r>
    </w:p>
    <w:p w:rsidR="00E91236" w:rsidRDefault="00000000">
      <w:pPr>
        <w:pStyle w:val="Heading3"/>
        <w:rPr>
          <w:rFonts w:cs="Times New Roman"/>
        </w:rPr>
      </w:pPr>
      <w:r>
        <w:rPr>
          <w:rFonts w:cs="Times New Roman"/>
        </w:rPr>
        <w:t>2.3. ROLE OF HEALTH INFORMATION TECHNOLOGY</w:t>
      </w:r>
    </w:p>
    <w:p w:rsidR="00E91236" w:rsidRDefault="00000000" w:rsidP="00056DC2">
      <w:pPr>
        <w:ind w:firstLine="720"/>
        <w:rPr>
          <w:rFonts w:cs="Times New Roman"/>
        </w:rPr>
      </w:pPr>
      <w:r>
        <w:rPr>
          <w:rFonts w:cs="Times New Roman"/>
        </w:rPr>
        <w:t xml:space="preserve">Health information technology (HIT) utilizes technology systems to improve various aspects of healthcare and to increase their efficiency. Major domains of HIT include guiding decision support, making physician entries computerized, and maintaining an electronic medical record (EMR). </w:t>
      </w:r>
      <w:r w:rsidR="00D649D1" w:rsidRPr="00D649D1">
        <w:rPr>
          <w:rFonts w:cs="Times New Roman"/>
        </w:rPr>
        <w:t>HIT's primary goal is to improve the safety, efficacy, and efficiency of healthcare delivery (</w:t>
      </w:r>
      <w:proofErr w:type="spellStart"/>
      <w:r w:rsidR="00D649D1" w:rsidRPr="00D649D1">
        <w:rPr>
          <w:rFonts w:cs="Times New Roman"/>
        </w:rPr>
        <w:t>Shekelle</w:t>
      </w:r>
      <w:proofErr w:type="spellEnd"/>
      <w:r w:rsidR="00D649D1" w:rsidRPr="00D649D1">
        <w:rPr>
          <w:rFonts w:cs="Times New Roman"/>
        </w:rPr>
        <w:t>, Morton, &amp; Keeler, 2006)</w:t>
      </w:r>
      <w:r>
        <w:rPr>
          <w:rFonts w:cs="Times New Roman"/>
        </w:rPr>
        <w:t>.</w:t>
      </w:r>
    </w:p>
    <w:p w:rsidR="00E91236" w:rsidRDefault="00000000" w:rsidP="00056DC2">
      <w:pPr>
        <w:ind w:firstLine="720"/>
        <w:rPr>
          <w:rFonts w:cs="Times New Roman"/>
        </w:rPr>
      </w:pPr>
      <w:r>
        <w:rPr>
          <w:rFonts w:cs="Times New Roman"/>
        </w:rPr>
        <w:t xml:space="preserve">Health Information Technology (HIT) plays an essential role in improving healthcare delivery by improving the communication, making work easier and improving patients’ status. Diagnostic related methods such as telemedicine, patient’s portal, EHR, and other technologies have brought several shifts in healthcare systems. This has </w:t>
      </w:r>
      <w:proofErr w:type="spellStart"/>
      <w:proofErr w:type="gramStart"/>
      <w:r>
        <w:rPr>
          <w:rFonts w:cs="Times New Roman"/>
        </w:rPr>
        <w:t>lead</w:t>
      </w:r>
      <w:proofErr w:type="spellEnd"/>
      <w:proofErr w:type="gramEnd"/>
      <w:r>
        <w:rPr>
          <w:rFonts w:cs="Times New Roman"/>
        </w:rPr>
        <w:t xml:space="preserve"> to constructive involvement from the patient, improved healthcare delivery and provision of quality services. HIT is involved in </w:t>
      </w:r>
      <w:r>
        <w:rPr>
          <w:rFonts w:cs="Times New Roman"/>
        </w:rPr>
        <w:lastRenderedPageBreak/>
        <w:t xml:space="preserve">several aspects of healthcare among them reducing medical errors, improving the satisfaction of patients by providing them with personalized and quick </w:t>
      </w:r>
      <w:proofErr w:type="gramStart"/>
      <w:r>
        <w:rPr>
          <w:rFonts w:cs="Times New Roman"/>
        </w:rPr>
        <w:t>treatment..</w:t>
      </w:r>
      <w:proofErr w:type="gramEnd"/>
    </w:p>
    <w:p w:rsidR="00E91236" w:rsidRDefault="00000000">
      <w:pPr>
        <w:rPr>
          <w:rFonts w:cs="Times New Roman"/>
        </w:rPr>
      </w:pPr>
      <w:r>
        <w:rPr>
          <w:rFonts w:cs="Times New Roman"/>
          <w:b/>
          <w:bCs/>
        </w:rPr>
        <w:t>Enhancing Communication and Coordination:</w:t>
      </w:r>
      <w:r>
        <w:rPr>
          <w:rFonts w:cs="Times New Roman"/>
        </w:rPr>
        <w:t xml:space="preserve">  </w:t>
      </w:r>
      <w:r w:rsidR="00451B1A">
        <w:rPr>
          <w:rFonts w:cs="Times New Roman"/>
        </w:rPr>
        <w:t>B</w:t>
      </w:r>
      <w:r>
        <w:rPr>
          <w:rFonts w:cs="Times New Roman"/>
        </w:rPr>
        <w:t xml:space="preserve">enefits of health information technology is the improvement of the </w:t>
      </w:r>
      <w:r w:rsidR="00451B1A">
        <w:rPr>
          <w:rFonts w:cs="Times New Roman"/>
        </w:rPr>
        <w:t>relationship</w:t>
      </w:r>
      <w:r>
        <w:rPr>
          <w:rFonts w:cs="Times New Roman"/>
        </w:rPr>
        <w:t xml:space="preserve"> between patients and healthcare practitioners. Zhang et al. (2020) note how </w:t>
      </w:r>
      <w:r w:rsidR="00056DC2">
        <w:rPr>
          <w:rFonts w:cs="Times New Roman"/>
        </w:rPr>
        <w:t>health ICT</w:t>
      </w:r>
      <w:r>
        <w:rPr>
          <w:rFonts w:cs="Times New Roman"/>
        </w:rPr>
        <w:t xml:space="preserve"> enhances patient experience by providing practicing physicians with comprehensive and timely patient information pertinent when delivering care through application of </w:t>
      </w:r>
      <w:proofErr w:type="spellStart"/>
      <w:r>
        <w:rPr>
          <w:rFonts w:cs="Times New Roman"/>
        </w:rPr>
        <w:t>HaTTs</w:t>
      </w:r>
      <w:proofErr w:type="spellEnd"/>
      <w:r>
        <w:rPr>
          <w:rFonts w:cs="Times New Roman"/>
        </w:rPr>
        <w:t xml:space="preserve"> such as EHRs. It enhances clinical judgments, ensures the delivery of uniform care, and reduces mistakes because it provides instant patient information. HIT improves teamwork among the health care givers since it enhances the possibility of accurate records of the patient and ensures that all the care givers have equal understanding of the </w:t>
      </w:r>
      <w:proofErr w:type="gramStart"/>
      <w:r>
        <w:rPr>
          <w:rFonts w:cs="Times New Roman"/>
        </w:rPr>
        <w:t>patients</w:t>
      </w:r>
      <w:proofErr w:type="gramEnd"/>
      <w:r>
        <w:rPr>
          <w:rFonts w:cs="Times New Roman"/>
        </w:rPr>
        <w:t xml:space="preserve"> case.</w:t>
      </w:r>
    </w:p>
    <w:p w:rsidR="00E91236" w:rsidRDefault="00000000" w:rsidP="00056DC2">
      <w:pPr>
        <w:ind w:firstLine="720"/>
        <w:rPr>
          <w:rFonts w:cs="Times New Roman"/>
        </w:rPr>
      </w:pPr>
      <w:r>
        <w:rPr>
          <w:rFonts w:cs="Times New Roman"/>
        </w:rPr>
        <w:t>In their study, Al-</w:t>
      </w:r>
      <w:proofErr w:type="spellStart"/>
      <w:r>
        <w:rPr>
          <w:rFonts w:cs="Times New Roman"/>
        </w:rPr>
        <w:t>Shorbaji</w:t>
      </w:r>
      <w:proofErr w:type="spellEnd"/>
      <w:r>
        <w:rPr>
          <w:rFonts w:cs="Times New Roman"/>
        </w:rPr>
        <w:t xml:space="preserve"> et al. (2019) offer another piece of evidence of how EHRs especially within the primary care setting benefits the communication, reduces documentation errors and thus enhances patient safety and satisfaction. It is perceived that when physicians and patients engage in discussions over the facts that are accurate and up to date, patient trust in the care continuum increases. Moreover, effective communication makes the patient to be an active participant in the treatment, thus enhancing patient satisfaction. In a similar </w:t>
      </w:r>
      <w:proofErr w:type="spellStart"/>
      <w:proofErr w:type="gramStart"/>
      <w:r>
        <w:rPr>
          <w:rFonts w:cs="Times New Roman"/>
        </w:rPr>
        <w:t>vain</w:t>
      </w:r>
      <w:proofErr w:type="spellEnd"/>
      <w:proofErr w:type="gramEnd"/>
      <w:r>
        <w:rPr>
          <w:rFonts w:cs="Times New Roman"/>
        </w:rPr>
        <w:t xml:space="preserve">, Greenhalgh et al. (2020) note that the HIT systems such as the EHR systems reduce the time spent in other tasks, make communication between departments better hence improving the efficiency of the hospitals. Patients have also been saved from inconveniencies of having their care transferred and delays in treatment hence lead to better </w:t>
      </w:r>
      <w:proofErr w:type="gramStart"/>
      <w:r>
        <w:rPr>
          <w:rFonts w:cs="Times New Roman"/>
        </w:rPr>
        <w:t>outcome..</w:t>
      </w:r>
      <w:proofErr w:type="gramEnd"/>
    </w:p>
    <w:p w:rsidR="00E91236" w:rsidRDefault="00000000">
      <w:pPr>
        <w:rPr>
          <w:rFonts w:cs="Times New Roman"/>
          <w:lang w:val="en-US"/>
        </w:rPr>
      </w:pPr>
      <w:r>
        <w:rPr>
          <w:rFonts w:cs="Times New Roman"/>
          <w:b/>
          <w:bCs/>
        </w:rPr>
        <w:t>Improving Patient Engagement and Satisfaction:</w:t>
      </w:r>
      <w:r>
        <w:rPr>
          <w:rFonts w:cs="Times New Roman"/>
        </w:rPr>
        <w:t xml:space="preserve"> Barent to solely improve the internal mechanism of resolving patient’s needs, HIT greatly affect the level of satisfaction and engagement. According to Al-Qirim (2020</w:t>
      </w:r>
      <w:r w:rsidR="009B3315">
        <w:rPr>
          <w:rFonts w:cs="Times New Roman"/>
        </w:rPr>
        <w:t>)</w:t>
      </w:r>
      <w:r>
        <w:rPr>
          <w:rFonts w:cs="Times New Roman"/>
        </w:rPr>
        <w:t>. These platforms empower patient through providing them with test result, prescriptions, and appointment platforms. Happiness concerning patients’ experiences of healthcare improves as they engage themselves on their treatment plans and choices. Such level of participation has a positive impact on treatment results as patients become more compliant to medical recommendations as becomes empowering.</w:t>
      </w:r>
    </w:p>
    <w:p w:rsidR="00056DC2" w:rsidRDefault="00000000" w:rsidP="00056DC2">
      <w:pPr>
        <w:ind w:firstLine="720"/>
        <w:rPr>
          <w:rFonts w:cs="Times New Roman"/>
          <w:lang w:val="en-US"/>
        </w:rPr>
      </w:pPr>
      <w:r>
        <w:rPr>
          <w:rFonts w:cs="Times New Roman"/>
          <w:lang w:val="en-US"/>
        </w:rPr>
        <w:t xml:space="preserve">In positioning patient portals as sources of increased patient satisfaction, Kuhn et al. (2021) explore how granting patient immediate entry to their medical records and shortening patient’s wait time to arrive at results or some other sort of information that the patients require could lead </w:t>
      </w:r>
      <w:r>
        <w:rPr>
          <w:rFonts w:cs="Times New Roman"/>
          <w:lang w:val="en-US"/>
        </w:rPr>
        <w:lastRenderedPageBreak/>
        <w:t xml:space="preserve">to increased patient satisfaction. Patients are empowered with their healthcare journey when they have access to appointment scheduling, or by secure messaging with their clinicians. Patients and health care disciplines acquire more trust in the end, which increases patient satisfaction. Further, Neves et al. (2021) examine ways in which the application of telemedicine systems can improve patients’ opportunities to receive medical care. </w:t>
      </w:r>
    </w:p>
    <w:p w:rsidR="00E91236" w:rsidRDefault="00000000" w:rsidP="00056DC2">
      <w:pPr>
        <w:ind w:firstLine="720"/>
        <w:rPr>
          <w:rFonts w:cs="Times New Roman"/>
          <w:lang w:val="en-US"/>
        </w:rPr>
      </w:pPr>
      <w:r>
        <w:rPr>
          <w:rFonts w:cs="Times New Roman"/>
          <w:lang w:val="en-US"/>
        </w:rPr>
        <w:t xml:space="preserve">It appears that due to the help of telemedicine the patients can receive the necessary care without having to travel long distances, what can be critical when speaking about the geographical barriers, most of all, if talking about the rural populations. This convenience solver increases the patient satisfaction because it eliminates the delays of physical treatment and appointment administrative </w:t>
      </w:r>
      <w:proofErr w:type="gramStart"/>
      <w:r>
        <w:rPr>
          <w:rFonts w:cs="Times New Roman"/>
          <w:lang w:val="en-US"/>
        </w:rPr>
        <w:t>work..</w:t>
      </w:r>
      <w:proofErr w:type="gramEnd"/>
    </w:p>
    <w:p w:rsidR="00E91236" w:rsidRDefault="00000000">
      <w:pPr>
        <w:rPr>
          <w:rFonts w:cs="Times New Roman"/>
        </w:rPr>
      </w:pPr>
      <w:r>
        <w:rPr>
          <w:rFonts w:cs="Times New Roman"/>
          <w:b/>
          <w:bCs/>
        </w:rPr>
        <w:t>Streamlining Operations and Reducing Errors:</w:t>
      </w:r>
      <w:r>
        <w:rPr>
          <w:rFonts w:cs="Times New Roman"/>
        </w:rPr>
        <w:t xml:space="preserve"> </w:t>
      </w:r>
      <w:proofErr w:type="spellStart"/>
      <w:r>
        <w:rPr>
          <w:rFonts w:cs="Times New Roman"/>
        </w:rPr>
        <w:t>Ocost</w:t>
      </w:r>
      <w:proofErr w:type="spellEnd"/>
      <w:r>
        <w:rPr>
          <w:rFonts w:cs="Times New Roman"/>
        </w:rPr>
        <w:t xml:space="preserve"> </w:t>
      </w:r>
      <w:proofErr w:type="spellStart"/>
      <w:r>
        <w:rPr>
          <w:rFonts w:cs="Times New Roman"/>
        </w:rPr>
        <w:t>perational</w:t>
      </w:r>
      <w:proofErr w:type="spellEnd"/>
      <w:r>
        <w:rPr>
          <w:rFonts w:cs="Times New Roman"/>
        </w:rPr>
        <w:t xml:space="preserve"> efficiencies in the healthcare structures have also been improved by implementation of health information technology. Computerised Physician Order Entry (CPOE) systems and electronic health record (EHRs) can support the reduction of lower pharmaceutical missteps, which cause a substantial amount of patient harm (Baker et al., 2018). These pushed technologies, for example, make the identification of likely drug interactions, allergies, and all other possible safety concerns possible, thereby raising the kind of treatment offered. Also, due to mass utilization of real-time integrated data, HIT systems enable healthcare providers to properly track patient status and address the relevant issues timely.</w:t>
      </w:r>
    </w:p>
    <w:p w:rsidR="00E91236" w:rsidRDefault="00000000" w:rsidP="00056DC2">
      <w:pPr>
        <w:ind w:firstLine="720"/>
        <w:rPr>
          <w:rFonts w:cs="Times New Roman"/>
        </w:rPr>
      </w:pPr>
      <w:r>
        <w:rPr>
          <w:rFonts w:cs="Times New Roman"/>
        </w:rPr>
        <w:t xml:space="preserve">Jha et al., (2018) points out that scheduling systems in healthcare can if improved will reduce patient waiting time and increase effectiveness. HIT also clears overbooking or forgetting of appointments by making appointment scheduling easier hence reducing possibilities of delay and discontent. Healthcare systems can more effectively deliver care through simplification of work processes such as the application of order management hence improving on staff productivity and customer </w:t>
      </w:r>
      <w:proofErr w:type="gramStart"/>
      <w:r>
        <w:rPr>
          <w:rFonts w:cs="Times New Roman"/>
        </w:rPr>
        <w:t>satisfaction..</w:t>
      </w:r>
      <w:proofErr w:type="gramEnd"/>
    </w:p>
    <w:p w:rsidR="00E91236" w:rsidRDefault="00000000">
      <w:pPr>
        <w:rPr>
          <w:rFonts w:cs="Times New Roman"/>
        </w:rPr>
      </w:pPr>
      <w:r>
        <w:rPr>
          <w:rFonts w:cs="Times New Roman"/>
          <w:b/>
          <w:bCs/>
        </w:rPr>
        <w:t>Improving Patient Safety:</w:t>
      </w:r>
      <w:r>
        <w:rPr>
          <w:rFonts w:cs="Times New Roman"/>
        </w:rPr>
        <w:t xml:space="preserve"> This is a crucial factor that can enhance patient safety in addition to improving operational efficiency and communication. Berg (2019) observe that by reducing dependency on paper-based documentation, which is easily lost or read wrong, health IT especially EHRs helps physicians in their decision-making processes. This means that such mistakes such as illegible writing, misplaced papers, or wrong patient information are minimized with computerized </w:t>
      </w:r>
      <w:r>
        <w:rPr>
          <w:rFonts w:cs="Times New Roman"/>
        </w:rPr>
        <w:lastRenderedPageBreak/>
        <w:t>systems. The clarity and access granted by improved medical patient data lead to enhanced patient results and safer treatment choices.</w:t>
      </w:r>
    </w:p>
    <w:p w:rsidR="00E91236" w:rsidRDefault="00000000">
      <w:pPr>
        <w:rPr>
          <w:rFonts w:cs="Times New Roman"/>
        </w:rPr>
      </w:pPr>
      <w:r>
        <w:rPr>
          <w:rFonts w:cs="Times New Roman"/>
        </w:rPr>
        <w:t xml:space="preserve">The details of the HIT function and the ways it can increase patient satisfaction and healthcare will be detailed in the following </w:t>
      </w:r>
      <w:proofErr w:type="gramStart"/>
      <w:r>
        <w:rPr>
          <w:rFonts w:cs="Times New Roman"/>
        </w:rPr>
        <w:t>sections..</w:t>
      </w:r>
      <w:proofErr w:type="gramEnd"/>
      <w:r>
        <w:rPr>
          <w:rFonts w:cs="Times New Roman"/>
        </w:rPr>
        <w:t xml:space="preserve"> </w:t>
      </w:r>
    </w:p>
    <w:p w:rsidR="00E91236" w:rsidRDefault="00000000">
      <w:pPr>
        <w:pStyle w:val="Heading4"/>
        <w:rPr>
          <w:rFonts w:cs="Times New Roman"/>
        </w:rPr>
      </w:pPr>
      <w:r>
        <w:rPr>
          <w:rFonts w:cs="Times New Roman"/>
        </w:rPr>
        <w:t>2.3.1. Overview of Health Information Technology</w:t>
      </w:r>
    </w:p>
    <w:p w:rsidR="00E91236" w:rsidRDefault="00000000">
      <w:pPr>
        <w:rPr>
          <w:rFonts w:cs="Times New Roman"/>
        </w:rPr>
      </w:pPr>
      <w:r>
        <w:rPr>
          <w:rFonts w:cs="Times New Roman"/>
        </w:rPr>
        <w:t xml:space="preserve">Health information technology may be termed as a large strand of description of how consumers and healthcare providers use technology to keep, inform, assess and share health care </w:t>
      </w:r>
      <w:proofErr w:type="gramStart"/>
      <w:r>
        <w:rPr>
          <w:rFonts w:cs="Times New Roman"/>
        </w:rPr>
        <w:t>information..</w:t>
      </w:r>
      <w:proofErr w:type="gramEnd"/>
    </w:p>
    <w:p w:rsidR="00E91236" w:rsidRDefault="00000000">
      <w:pPr>
        <w:rPr>
          <w:rFonts w:cs="Times New Roman"/>
        </w:rPr>
      </w:pPr>
      <w:r>
        <w:rPr>
          <w:rFonts w:cs="Times New Roman"/>
        </w:rPr>
        <w:t>HIT includes the following:</w:t>
      </w:r>
    </w:p>
    <w:p w:rsidR="00E91236" w:rsidRDefault="00000000">
      <w:pPr>
        <w:pStyle w:val="ListParagraph"/>
        <w:numPr>
          <w:ilvl w:val="0"/>
          <w:numId w:val="4"/>
        </w:numPr>
        <w:rPr>
          <w:rFonts w:cs="Times New Roman"/>
        </w:rPr>
      </w:pPr>
      <w:r>
        <w:rPr>
          <w:rFonts w:cs="Times New Roman"/>
          <w:b/>
        </w:rPr>
        <w:t xml:space="preserve">Electronic Health Records (EHRs): </w:t>
      </w:r>
      <w:r>
        <w:rPr>
          <w:rFonts w:cs="Times New Roman"/>
        </w:rPr>
        <w:t>This</w:t>
      </w:r>
      <w:r w:rsidR="00DD0FCD">
        <w:rPr>
          <w:rFonts w:cs="Times New Roman"/>
        </w:rPr>
        <w:t xml:space="preserve"> </w:t>
      </w:r>
      <w:r>
        <w:rPr>
          <w:rFonts w:cs="Times New Roman"/>
        </w:rPr>
        <w:t>central component of HIT. Widespread adoption of EHRs can help enhance PCC delivery and is essential for improving healthcare delivery in ambulatory, community care, inpatient, and outpatient settings (Richardson et al., 2001). EHRs make it simple to manage medical records and share information with experts following a referral.</w:t>
      </w:r>
    </w:p>
    <w:p w:rsidR="00E91236" w:rsidRDefault="00000000">
      <w:pPr>
        <w:pStyle w:val="ListParagraph"/>
        <w:numPr>
          <w:ilvl w:val="0"/>
          <w:numId w:val="4"/>
        </w:numPr>
        <w:rPr>
          <w:rFonts w:cs="Times New Roman"/>
        </w:rPr>
      </w:pPr>
      <w:r>
        <w:rPr>
          <w:rFonts w:cs="Times New Roman"/>
          <w:b/>
        </w:rPr>
        <w:t xml:space="preserve">Personal Health Records (PHRs): </w:t>
      </w:r>
      <w:r>
        <w:rPr>
          <w:rFonts w:cs="Times New Roman"/>
        </w:rPr>
        <w:t>Personal health records are built on the same principle as EHRs but allow the patient to directly control and track the information stored in them. They can be linked with EHR systems, and can allow patients to track their healthcare visits, their medications, their fitness and health status changes, and their nutritional records. PHRs reflect an important nodal point in the delivery of PCC.</w:t>
      </w:r>
      <w:r>
        <w:rPr>
          <w:rFonts w:cs="Times New Roman"/>
        </w:rPr>
        <w:br/>
        <w:t xml:space="preserve">EHRs and PHRs are often widely interlinked. </w:t>
      </w:r>
      <w:r w:rsidR="00056DC2" w:rsidRPr="00056DC2">
        <w:rPr>
          <w:rFonts w:cs="Times New Roman"/>
        </w:rPr>
        <w:t>According to Richardson et al. (2001), electronic health records (EHRs) ought to facilitate the provision of personal health services, including care management and delivery, care support procedures, and administrative tasks like insurance reimbursement and billing.</w:t>
      </w:r>
    </w:p>
    <w:p w:rsidR="00E91236" w:rsidRDefault="00000000" w:rsidP="00056DC2">
      <w:pPr>
        <w:pStyle w:val="ListParagraph"/>
        <w:ind w:firstLine="720"/>
        <w:rPr>
          <w:rFonts w:cs="Times New Roman"/>
        </w:rPr>
      </w:pPr>
      <w:r>
        <w:rPr>
          <w:rFonts w:cs="Times New Roman"/>
        </w:rPr>
        <w:t>Secondary uses of these systems include education of patients, credentialing and regulation of physicians by keeping track of their patient commitments, research in clinical and health services, policy support, and public health research (Silverman, 2018).</w:t>
      </w:r>
    </w:p>
    <w:p w:rsidR="00E91236" w:rsidRDefault="00000000">
      <w:pPr>
        <w:pStyle w:val="ListParagraph"/>
        <w:numPr>
          <w:ilvl w:val="0"/>
          <w:numId w:val="4"/>
        </w:numPr>
        <w:rPr>
          <w:rFonts w:cs="Times New Roman"/>
        </w:rPr>
      </w:pPr>
      <w:r>
        <w:rPr>
          <w:rFonts w:cs="Times New Roman"/>
          <w:b/>
        </w:rPr>
        <w:t xml:space="preserve">Electronic Prescribing: </w:t>
      </w:r>
      <w:r>
        <w:rPr>
          <w:rFonts w:cs="Times New Roman"/>
        </w:rPr>
        <w:t xml:space="preserve">E-prescribing allows HCPs to directly issue prescriptions to patients’ pharmacies. This not only allows easy tracking and record-keeping, but also limits the potential for misuse. In the COVID-19 pandemic, E-prescribing became an important modality, which limited unnecessary visits to healthcare facilities while simultaneously </w:t>
      </w:r>
      <w:r>
        <w:rPr>
          <w:rFonts w:cs="Times New Roman"/>
        </w:rPr>
        <w:lastRenderedPageBreak/>
        <w:t>making sure that patients received their prescriptions of regular medications (Bell et al., 2020).</w:t>
      </w:r>
    </w:p>
    <w:p w:rsidR="00E91236" w:rsidRDefault="00000000">
      <w:pPr>
        <w:pStyle w:val="ListParagraph"/>
        <w:rPr>
          <w:rFonts w:cs="Times New Roman"/>
        </w:rPr>
      </w:pPr>
      <w:r>
        <w:rPr>
          <w:rFonts w:cs="Times New Roman"/>
        </w:rPr>
        <w:t>The benefits of wide implementation of an E-prescribing system have been enumerated in several studies. E-prescribing has been shown to reduce prescribing errors; increase the quality of prescribing (as defined by fewer errors and fewer pharmacists’ interventions); and reduce any clinical risks to patients (Donyai et al., 2008; Potts et al., 2004).</w:t>
      </w:r>
    </w:p>
    <w:p w:rsidR="00E91236" w:rsidRDefault="00000000">
      <w:pPr>
        <w:pStyle w:val="ListParagraph"/>
        <w:numPr>
          <w:ilvl w:val="0"/>
          <w:numId w:val="4"/>
        </w:numPr>
        <w:rPr>
          <w:rFonts w:cs="Times New Roman"/>
        </w:rPr>
      </w:pPr>
      <w:r>
        <w:rPr>
          <w:rFonts w:cs="Times New Roman"/>
          <w:b/>
        </w:rPr>
        <w:t xml:space="preserve">Privacy and Security: </w:t>
      </w:r>
      <w:r>
        <w:rPr>
          <w:rFonts w:cs="Times New Roman"/>
        </w:rPr>
        <w:t>HIT provides better privacy and security for sensitive and personal information compared to paper records. HIT systems can be encoded and encrypted with limited access. Furthermore, these systems can track whoever accessed patient’s information, and this can be an important limitation to unnecessary spread or dissemination of sensitive patient information (Silverman 2018).</w:t>
      </w:r>
    </w:p>
    <w:p w:rsidR="00E91236" w:rsidRDefault="00000000">
      <w:pPr>
        <w:pStyle w:val="ListParagraph"/>
        <w:rPr>
          <w:rFonts w:cs="Times New Roman"/>
        </w:rPr>
      </w:pPr>
      <w:r>
        <w:rPr>
          <w:rFonts w:cs="Times New Roman"/>
        </w:rPr>
        <w:t xml:space="preserve">Several technologies have been used to ensure privacy and security of healthcare data. Some of these include information authentication; </w:t>
      </w:r>
      <w:r w:rsidR="00DD0FCD" w:rsidRPr="00DD0FCD">
        <w:rPr>
          <w:rFonts w:cs="Times New Roman"/>
        </w:rPr>
        <w:t>Access control, encryption of information, data masking, and security monitoring</w:t>
      </w:r>
      <w:r>
        <w:rPr>
          <w:rFonts w:cs="Times New Roman"/>
        </w:rPr>
        <w:t xml:space="preserve"> and auditing; and data filtering and classification (</w:t>
      </w:r>
      <w:proofErr w:type="spellStart"/>
      <w:r>
        <w:rPr>
          <w:rFonts w:cs="Times New Roman"/>
        </w:rPr>
        <w:t>Abouelmehdi</w:t>
      </w:r>
      <w:proofErr w:type="spellEnd"/>
      <w:r>
        <w:rPr>
          <w:rFonts w:cs="Times New Roman"/>
        </w:rPr>
        <w:t>, Beni-</w:t>
      </w:r>
      <w:proofErr w:type="spellStart"/>
      <w:r>
        <w:rPr>
          <w:rFonts w:cs="Times New Roman"/>
        </w:rPr>
        <w:t>Hessane</w:t>
      </w:r>
      <w:proofErr w:type="spellEnd"/>
      <w:r>
        <w:rPr>
          <w:rFonts w:cs="Times New Roman"/>
        </w:rPr>
        <w:t xml:space="preserve"> &amp; </w:t>
      </w:r>
      <w:proofErr w:type="spellStart"/>
      <w:r>
        <w:rPr>
          <w:rFonts w:cs="Times New Roman"/>
        </w:rPr>
        <w:t>Khaloufi</w:t>
      </w:r>
      <w:proofErr w:type="spellEnd"/>
      <w:r>
        <w:rPr>
          <w:rFonts w:cs="Times New Roman"/>
        </w:rPr>
        <w:t xml:space="preserve">, 2018) </w:t>
      </w:r>
    </w:p>
    <w:p w:rsidR="00E91236" w:rsidRDefault="00000000">
      <w:pPr>
        <w:pStyle w:val="Heading4"/>
        <w:rPr>
          <w:rFonts w:cs="Times New Roman"/>
        </w:rPr>
      </w:pPr>
      <w:r>
        <w:rPr>
          <w:rFonts w:cs="Times New Roman"/>
        </w:rPr>
        <w:t>2.3.2. Improving efficiency of services with Health Information Technology</w:t>
      </w:r>
    </w:p>
    <w:p w:rsidR="00E91236" w:rsidRDefault="00000000" w:rsidP="00056DC2">
      <w:pPr>
        <w:ind w:firstLine="720"/>
        <w:rPr>
          <w:rFonts w:cs="Times New Roman"/>
        </w:rPr>
      </w:pPr>
      <w:r>
        <w:rPr>
          <w:rFonts w:cs="Times New Roman"/>
        </w:rPr>
        <w:t>There are numerous ways in which HIT can improve efficiency of hospital services and can help improve delivery of patient-</w:t>
      </w:r>
      <w:proofErr w:type="spellStart"/>
      <w:r>
        <w:rPr>
          <w:rFonts w:cs="Times New Roman"/>
        </w:rPr>
        <w:t>centered</w:t>
      </w:r>
      <w:proofErr w:type="spellEnd"/>
      <w:r>
        <w:rPr>
          <w:rFonts w:cs="Times New Roman"/>
        </w:rPr>
        <w:t xml:space="preserve"> care. HIT affects both the service provider i.e., the hospital or physician, as well as the service user i.e., the patient in a positive way.</w:t>
      </w:r>
    </w:p>
    <w:p w:rsidR="00E91236" w:rsidRDefault="00000000">
      <w:pPr>
        <w:rPr>
          <w:rFonts w:cs="Times New Roman"/>
          <w:b/>
        </w:rPr>
      </w:pPr>
      <w:r>
        <w:rPr>
          <w:rFonts w:cs="Times New Roman"/>
          <w:b/>
        </w:rPr>
        <w:t xml:space="preserve">Impact on Patients: </w:t>
      </w:r>
    </w:p>
    <w:p w:rsidR="00E91236" w:rsidRDefault="00000000" w:rsidP="00056DC2">
      <w:pPr>
        <w:ind w:firstLine="720"/>
        <w:rPr>
          <w:rFonts w:cs="Times New Roman"/>
        </w:rPr>
      </w:pPr>
      <w:r>
        <w:rPr>
          <w:rFonts w:cs="Times New Roman"/>
        </w:rPr>
        <w:t>HIT allows patients to manage their healthcare in an easy and efficient way, without any hassles. It allows patients to obtain e-prescriptions which can be directly sent to pharmacy systems and reduce errors in medication prescribing. It also allows rapid information sharing and reduced paperwork for patients to handle; patients do not have to repeatedly fill forms as their prior information is stored in the database. HIT discourages unnecessary testing, especially double-testing due to lack of access to records. Information is usually more secure with HIT systems compared to paper-based systems, and EHRs ensure proper and timely follow up by reminding both patients and doctors by automatically generated mails or messages (Buntin et al., 2011).</w:t>
      </w:r>
    </w:p>
    <w:p w:rsidR="00E91236" w:rsidRDefault="00000000">
      <w:pPr>
        <w:rPr>
          <w:rFonts w:cs="Times New Roman"/>
          <w:b/>
        </w:rPr>
      </w:pPr>
      <w:r>
        <w:rPr>
          <w:rFonts w:cs="Times New Roman"/>
          <w:b/>
        </w:rPr>
        <w:t xml:space="preserve">Impact on Healthcare Providers and Healthcare Systems: </w:t>
      </w:r>
    </w:p>
    <w:p w:rsidR="00E91236" w:rsidRDefault="00000000" w:rsidP="00056DC2">
      <w:pPr>
        <w:ind w:firstLine="720"/>
        <w:rPr>
          <w:rFonts w:cs="Times New Roman"/>
        </w:rPr>
      </w:pPr>
      <w:r>
        <w:rPr>
          <w:rFonts w:cs="Times New Roman"/>
        </w:rPr>
        <w:lastRenderedPageBreak/>
        <w:t>HIT has the potential to improve quality and effectiveness of healthcare systems, as well as to reduce and prevent medical errors, decrease healthcare and store costs, provide early detection and management of various diseases, and deliver up-to-date information to providers (Ahmad, 2015). Availability of clinical information management, and decision support tools inside the EHR has been shown to improve provider performance, and the implementation of these systems provides substantial cost savings, as well as easily manageable health information exchange and interoperability (</w:t>
      </w:r>
      <w:proofErr w:type="spellStart"/>
      <w:r>
        <w:rPr>
          <w:rFonts w:cs="Times New Roman"/>
        </w:rPr>
        <w:t>Shekelle</w:t>
      </w:r>
      <w:proofErr w:type="spellEnd"/>
      <w:r>
        <w:rPr>
          <w:rFonts w:cs="Times New Roman"/>
        </w:rPr>
        <w:t xml:space="preserve">, Morton &amp; Keeler, 2006). </w:t>
      </w:r>
    </w:p>
    <w:p w:rsidR="00E91236" w:rsidRPr="00DE2FCE" w:rsidRDefault="00000000" w:rsidP="00056DC2">
      <w:pPr>
        <w:ind w:firstLine="720"/>
        <w:rPr>
          <w:rFonts w:cs="Times New Roman"/>
        </w:rPr>
      </w:pPr>
      <w:r>
        <w:rPr>
          <w:rFonts w:cs="Times New Roman"/>
        </w:rPr>
        <w:t>Figure 2 provides an overview of services and systems that can be improved via the implementation of a health information technology service:</w:t>
      </w:r>
    </w:p>
    <w:p w:rsidR="00E91236" w:rsidRDefault="00E91236">
      <w:pPr>
        <w:rPr>
          <w:rFonts w:cs="Times New Roman"/>
          <w:b/>
        </w:rPr>
      </w:pPr>
    </w:p>
    <w:p w:rsidR="00E91236" w:rsidRDefault="00000000">
      <w:pPr>
        <w:rPr>
          <w:rFonts w:cs="Times New Roman"/>
          <w:b/>
        </w:rPr>
      </w:pPr>
      <w:r>
        <w:rPr>
          <w:rFonts w:cs="Times New Roman"/>
          <w:b/>
        </w:rPr>
        <w:t xml:space="preserve">Figure 2.4: Role of HIT in improving efficiency of healthcare services.  </w:t>
      </w:r>
    </w:p>
    <w:p w:rsidR="00E91236" w:rsidRDefault="00000000">
      <w:pPr>
        <w:rPr>
          <w:rFonts w:cs="Times New Roman"/>
          <w:b/>
        </w:rPr>
      </w:pPr>
      <w:r>
        <w:rPr>
          <w:rFonts w:cs="Times New Roman"/>
          <w:b/>
          <w:noProof/>
          <w:lang w:val="en-US"/>
        </w:rPr>
        <w:drawing>
          <wp:inline distT="0" distB="0" distL="0" distR="0">
            <wp:extent cx="6410325" cy="3771900"/>
            <wp:effectExtent l="0" t="38100" r="0" b="76200"/>
            <wp:docPr id="1029"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E91236" w:rsidRDefault="00000000">
      <w:pPr>
        <w:pStyle w:val="Heading4"/>
        <w:rPr>
          <w:rFonts w:cs="Times New Roman"/>
        </w:rPr>
      </w:pPr>
      <w:r>
        <w:rPr>
          <w:rFonts w:cs="Times New Roman"/>
        </w:rPr>
        <w:t>2.3.3. Health Information Technology in Saudi Arabia</w:t>
      </w:r>
    </w:p>
    <w:p w:rsidR="00E91236" w:rsidRDefault="00000000" w:rsidP="00056DC2">
      <w:pPr>
        <w:ind w:firstLine="720"/>
        <w:rPr>
          <w:rFonts w:cs="Times New Roman"/>
        </w:rPr>
      </w:pPr>
      <w:r>
        <w:rPr>
          <w:rFonts w:cs="Times New Roman"/>
        </w:rPr>
        <w:t xml:space="preserve">Health Information Technology (HIT) has play significant role in transforming healthcare in KSA as an emerging global solution in delivery of healthcare. This is in consonance with the </w:t>
      </w:r>
      <w:r>
        <w:rPr>
          <w:rFonts w:cs="Times New Roman"/>
        </w:rPr>
        <w:lastRenderedPageBreak/>
        <w:t xml:space="preserve">Saudi Arabia Vision 2030; </w:t>
      </w:r>
      <w:proofErr w:type="gramStart"/>
      <w:r>
        <w:rPr>
          <w:rFonts w:cs="Times New Roman"/>
        </w:rPr>
        <w:t>this reforms</w:t>
      </w:r>
      <w:proofErr w:type="gramEnd"/>
      <w:r>
        <w:rPr>
          <w:rFonts w:cs="Times New Roman"/>
        </w:rPr>
        <w:t xml:space="preserve"> seek to embrace modern technologies for health sector to transform, enhance productivity and quality of services being offered to patients. EHRs are HSs, telemedicine, patient portal, and mobile health applications are among the technologies that are categorized under HIT in Saudi Arabia. These technologies have demonstrated the need to raise patients’ satisfaction, enhance care delivery, and accelerate healthcare processes.</w:t>
      </w:r>
    </w:p>
    <w:p w:rsidR="00E91236" w:rsidRDefault="00000000" w:rsidP="00056DC2">
      <w:pPr>
        <w:ind w:firstLine="720"/>
        <w:rPr>
          <w:rFonts w:cs="Times New Roman"/>
        </w:rPr>
      </w:pPr>
      <w:r>
        <w:rPr>
          <w:rFonts w:cs="Times New Roman"/>
        </w:rPr>
        <w:t>Most of the components of HIT in Saudi Arabia have been headed by the adoption of Electronic Health Record (EHR). Another study by Al-</w:t>
      </w:r>
      <w:proofErr w:type="spellStart"/>
      <w:r>
        <w:rPr>
          <w:rFonts w:cs="Times New Roman"/>
        </w:rPr>
        <w:t>Refaie</w:t>
      </w:r>
      <w:proofErr w:type="spellEnd"/>
      <w:r>
        <w:rPr>
          <w:rFonts w:cs="Times New Roman"/>
        </w:rPr>
        <w:t xml:space="preserve"> et al. also conducted in Saudi Arabia found that EHRs enhanced, to a great extent, the reliability and availability of patient’s data to professional involved in the patient’s care as a result of improved communication among those involved in the patient’s care. Accurate and complete information about patients made available to medical staff through EHRs improves patient care, and minimizes instances of adverse heath events. Since most of the healthcare institutions are now fully on paperless records, the Saudi MOH has been very active in the promotion of the usage of EHRs in hospitals and clinics. A reduction of medical duplication and improvement of care coordination has also been achieved through this </w:t>
      </w:r>
      <w:proofErr w:type="gramStart"/>
      <w:r>
        <w:rPr>
          <w:rFonts w:cs="Times New Roman"/>
        </w:rPr>
        <w:t>program..</w:t>
      </w:r>
      <w:proofErr w:type="gramEnd"/>
    </w:p>
    <w:p w:rsidR="00E91236" w:rsidRDefault="00000000" w:rsidP="00056DC2">
      <w:pPr>
        <w:ind w:firstLine="720"/>
        <w:rPr>
          <w:rFonts w:cs="Times New Roman"/>
        </w:rPr>
      </w:pPr>
      <w:r>
        <w:rPr>
          <w:rFonts w:cs="Times New Roman"/>
        </w:rPr>
        <w:t>In Saudi Arabia, the utilization of telemedicine has become even more relevant in three specific areas: underdeveloped areas and regions as well as rural areas that lack sufficient medical facilities. The Saudi government has supported the development of telemedicine systems that provide remote consultation, diagnosis, and follow-up. This program forms part of a wider effort to improve the accessibility of health services and alleviate the pressure experienced by city hospitals. According to Al-</w:t>
      </w:r>
      <w:proofErr w:type="spellStart"/>
      <w:r>
        <w:rPr>
          <w:rFonts w:cs="Times New Roman"/>
        </w:rPr>
        <w:t>Refaie</w:t>
      </w:r>
      <w:proofErr w:type="spellEnd"/>
      <w:r>
        <w:rPr>
          <w:rFonts w:cs="Times New Roman"/>
        </w:rPr>
        <w:t xml:space="preserve"> et al. (2022), telemedicine has also helped to reduce patients’ waiting time as well as the amount of time patients spend travelling and this has led to increased patient satisfaction. Telemedicine has been proved very effective in the management of mental health problems, clients with chronic diseases and pregnant women and their children. There was a great prominence of the use of telemedicine during the COVID-19 pandemic because it facilitated the provision of medical care and at the same time lessened the risk of spreading the virus.</w:t>
      </w:r>
    </w:p>
    <w:p w:rsidR="00E91236" w:rsidRDefault="00000000" w:rsidP="00056DC2">
      <w:pPr>
        <w:ind w:firstLine="720"/>
        <w:rPr>
          <w:rFonts w:cs="Times New Roman"/>
        </w:rPr>
      </w:pPr>
      <w:r>
        <w:rPr>
          <w:rFonts w:cs="Times New Roman"/>
        </w:rPr>
        <w:t xml:space="preserve">In Saudi Arabia, the patient portal is also gradually used as a tool to enhance patients’ experience, as well as EHRS and telemedicine. These gateways allow patients to communicate with health care providers virtually, set physical appointments, access prescribed drugs, and review </w:t>
      </w:r>
      <w:r>
        <w:rPr>
          <w:rFonts w:cs="Times New Roman"/>
        </w:rPr>
        <w:lastRenderedPageBreak/>
        <w:t>their records. According to Greenhalgh et al. (2020), ‘patient portals’ make patients more knowledgeable by providing them with easy access to their records and making them more capable of making informed decisions about it. Another key principle of patient-</w:t>
      </w:r>
      <w:proofErr w:type="spellStart"/>
      <w:r>
        <w:rPr>
          <w:rFonts w:cs="Times New Roman"/>
        </w:rPr>
        <w:t>centered</w:t>
      </w:r>
      <w:proofErr w:type="spellEnd"/>
      <w:r>
        <w:rPr>
          <w:rFonts w:cs="Times New Roman"/>
        </w:rPr>
        <w:t xml:space="preserve"> care is patient engagement and this medium boosts it. Two of the key goals of Vision 2030 are to provide more patient-focused services and improve the availability of healthcare services’ Another objective in alignment with the use of patient portals in Saudi healthcare organizations is.</w:t>
      </w:r>
    </w:p>
    <w:p w:rsidR="00E91236" w:rsidRDefault="00000000" w:rsidP="00056DC2">
      <w:pPr>
        <w:ind w:firstLine="720"/>
        <w:rPr>
          <w:rFonts w:cs="Times New Roman"/>
        </w:rPr>
      </w:pPr>
      <w:r>
        <w:rPr>
          <w:rFonts w:cs="Times New Roman"/>
        </w:rPr>
        <w:t xml:space="preserve">To enhance administrative processes which include patients’ registration, charges and stock control, most of the health </w:t>
      </w:r>
      <w:proofErr w:type="spellStart"/>
      <w:r>
        <w:rPr>
          <w:rFonts w:cs="Times New Roman"/>
        </w:rPr>
        <w:t>centers</w:t>
      </w:r>
      <w:proofErr w:type="spellEnd"/>
      <w:r>
        <w:rPr>
          <w:rFonts w:cs="Times New Roman"/>
        </w:rPr>
        <w:t xml:space="preserve"> in Saudi Arabia have adopt Health Information Systems (HIS). These technologies enhance efficiency by reducing the time spent on automating these processes, and ensuring that patient information is described meticulously and easily retrievable in other departments. This HIS integration work stated by Greenhalgh et al. (2020) has improved departmental integration and lowered operating costs, thus contributing to faster patient diagnosis and treatment. This is particularly important in large health facilities where patients are attended to by several practitioners. Moreover, it aids in the reporting process and contributes to the patient outcome monitoring, which is crucial for the provision of the high-quality services and compliance with the current </w:t>
      </w:r>
      <w:proofErr w:type="gramStart"/>
      <w:r>
        <w:rPr>
          <w:rFonts w:cs="Times New Roman"/>
        </w:rPr>
        <w:t>legislation..</w:t>
      </w:r>
      <w:proofErr w:type="gramEnd"/>
    </w:p>
    <w:p w:rsidR="00E91236" w:rsidRDefault="00000000" w:rsidP="00056DC2">
      <w:pPr>
        <w:ind w:firstLine="720"/>
        <w:rPr>
          <w:rFonts w:cs="Times New Roman"/>
        </w:rPr>
      </w:pPr>
      <w:r>
        <w:rPr>
          <w:rFonts w:cs="Times New Roman"/>
        </w:rPr>
        <w:t>Unfortunately, despite the fact that Saudi Arabia has a lot to gain from the integration of HIT, there are some challenges that have to be addressed. One of the major barriers is the need for sufficient education and training among the health care practitioners to effectively deploy and employ the various digital health solutions that are available in the market. Al-Qirim (2020) also emphasized that, in addition to EHR and HIS training, healthcare professionals should be trained how to deal with patients through patient portal and telemedicine. It adds difficulty because numerous healthcare facilities employ different technologies that could not successfully interact with one another since they are not compatible. These challenges therefore have to be eliminated for HIT to fully realize its potential in improving health care delivery.</w:t>
      </w:r>
    </w:p>
    <w:p w:rsidR="00E91236" w:rsidRDefault="00000000" w:rsidP="00056DC2">
      <w:pPr>
        <w:ind w:firstLine="720"/>
        <w:rPr>
          <w:rFonts w:cs="Times New Roman"/>
        </w:rPr>
      </w:pPr>
      <w:r>
        <w:rPr>
          <w:rFonts w:cs="Times New Roman"/>
        </w:rPr>
        <w:t xml:space="preserve">Besides, there is an ongoing effort of Saudi Arabia to expand the ML and AI application in healthcare systems to improve the diagnostic accuracy, predict outcomes and adapt treatment plans. Therefore, the enhanced, possibly AI-driven, healthcare applications and robotic surgeries are likely to be a part of further HIT development in Saudi Arabia which will satisfaction patients and enhance the quality of </w:t>
      </w:r>
      <w:proofErr w:type="gramStart"/>
      <w:r>
        <w:rPr>
          <w:rFonts w:cs="Times New Roman"/>
        </w:rPr>
        <w:t>care..</w:t>
      </w:r>
      <w:proofErr w:type="gramEnd"/>
    </w:p>
    <w:p w:rsidR="00E91236" w:rsidRDefault="00000000" w:rsidP="00056DC2">
      <w:pPr>
        <w:ind w:firstLine="720"/>
        <w:rPr>
          <w:rFonts w:cs="Times New Roman"/>
          <w:lang w:val="en-US"/>
        </w:rPr>
      </w:pPr>
      <w:r>
        <w:rPr>
          <w:rFonts w:cs="Times New Roman"/>
        </w:rPr>
        <w:lastRenderedPageBreak/>
        <w:t>Still, HIT for different extents, has been implemented and utilised globally for the purpose of changing the modality of healthcare (Alqahtani et al., 2017). The use of HIT in Saudi Arabia dates back to the nineteen eighties when the Ministry of Health started using an electronic health arrangement (</w:t>
      </w:r>
      <w:proofErr w:type="spellStart"/>
      <w:r>
        <w:rPr>
          <w:rFonts w:cs="Times New Roman"/>
        </w:rPr>
        <w:t>Hasanain</w:t>
      </w:r>
      <w:proofErr w:type="spellEnd"/>
      <w:r>
        <w:rPr>
          <w:rFonts w:cs="Times New Roman"/>
        </w:rPr>
        <w:t xml:space="preserve"> et al., 2014). An initial plan for the introduction of a national EMR system was given in 2002 (Khalifa, 2018) and the plan lays under government’s vision 2030 now (Alshammari, 2021).</w:t>
      </w:r>
    </w:p>
    <w:p w:rsidR="00E91236" w:rsidRDefault="00000000" w:rsidP="00056DC2">
      <w:pPr>
        <w:ind w:firstLine="720"/>
        <w:rPr>
          <w:rFonts w:cs="Times New Roman"/>
          <w:lang w:val="en-US"/>
        </w:rPr>
      </w:pPr>
      <w:r>
        <w:rPr>
          <w:rFonts w:cs="Times New Roman"/>
          <w:lang w:val="en-US"/>
        </w:rPr>
        <w:t xml:space="preserve">The Saudi government has acknowledged e-health as a sensitive project, and it is supplementing this by providing e-health systems to the populace, sensitizing health care workers on e-health, and developing user-focused care structures. Due to financial restraints which force hospitals to allocate money to more essential and less expensive patient procedures, in addition to the </w:t>
      </w:r>
      <w:proofErr w:type="spellStart"/>
      <w:r>
        <w:rPr>
          <w:rFonts w:cs="Times New Roman"/>
          <w:lang w:val="en-US"/>
        </w:rPr>
        <w:t>HCPs’</w:t>
      </w:r>
      <w:proofErr w:type="spellEnd"/>
      <w:r>
        <w:rPr>
          <w:rFonts w:cs="Times New Roman"/>
          <w:lang w:val="en-US"/>
        </w:rPr>
        <w:t xml:space="preserve"> inexperience and inefficiency, HIT in the nation is deficient in the following ways (Zaman et al., 2018).</w:t>
      </w:r>
    </w:p>
    <w:p w:rsidR="00E91236" w:rsidRDefault="00000000" w:rsidP="00056DC2">
      <w:pPr>
        <w:ind w:firstLine="720"/>
        <w:rPr>
          <w:rFonts w:cs="Times New Roman"/>
          <w:lang w:val="en-US"/>
        </w:rPr>
      </w:pPr>
      <w:r>
        <w:rPr>
          <w:rFonts w:cs="Times New Roman"/>
          <w:lang w:val="en-US"/>
        </w:rPr>
        <w:t>Health care professionals as well as the other segments of the health industry have come together to develop best practices based on information from health informatics (Khalifa, 2018). Other groups of subsectors involved in health have also experienced enhanced performance owing to data driven e-health strategy (Buntin et al., 2011). Research has suggested that HIT can improve a treatment delivery in primary and rural health facilities and its usage in primary care shows signs of growth as well (</w:t>
      </w:r>
      <w:proofErr w:type="spellStart"/>
      <w:r>
        <w:rPr>
          <w:rFonts w:cs="Times New Roman"/>
          <w:lang w:val="en-US"/>
        </w:rPr>
        <w:t>Almaiman</w:t>
      </w:r>
      <w:proofErr w:type="spellEnd"/>
      <w:r>
        <w:rPr>
          <w:rFonts w:cs="Times New Roman"/>
          <w:lang w:val="en-US"/>
        </w:rPr>
        <w:t xml:space="preserve"> et al., 2014</w:t>
      </w:r>
      <w:proofErr w:type="gramStart"/>
      <w:r>
        <w:rPr>
          <w:rFonts w:cs="Times New Roman"/>
          <w:lang w:val="en-US"/>
        </w:rPr>
        <w:t>)..</w:t>
      </w:r>
      <w:proofErr w:type="gramEnd"/>
      <w:r>
        <w:rPr>
          <w:rFonts w:cs="Times New Roman"/>
          <w:lang w:val="en-US"/>
        </w:rPr>
        <w:t xml:space="preserve"> </w:t>
      </w:r>
      <w:r>
        <w:rPr>
          <w:rFonts w:cs="Times New Roman"/>
        </w:rPr>
        <w:t xml:space="preserve">  </w:t>
      </w:r>
    </w:p>
    <w:p w:rsidR="00E91236" w:rsidRDefault="00000000" w:rsidP="00056DC2">
      <w:pPr>
        <w:ind w:firstLine="720"/>
        <w:rPr>
          <w:rFonts w:cs="Times New Roman"/>
        </w:rPr>
      </w:pPr>
      <w:r>
        <w:rPr>
          <w:rFonts w:cs="Times New Roman"/>
        </w:rPr>
        <w:t>The study done to evaluate the implementation of HIT in hospitals</w:t>
      </w:r>
      <w:r w:rsidR="0060267B">
        <w:rPr>
          <w:rFonts w:cs="Times New Roman"/>
        </w:rPr>
        <w:t xml:space="preserve"> of</w:t>
      </w:r>
      <w:r>
        <w:rPr>
          <w:rFonts w:cs="Times New Roman"/>
        </w:rPr>
        <w:t xml:space="preserve"> Eastern region of Saudi Arabia showed that majority of the hospitals had bought the health information system (HIS) that is currently in place and not developed locally; moreover, scores of functionalities of the HIS in terms of view categories and the clinical document were completely implemented in most of the hospitals included in the study (Alsalman et al., 2021). A cross-sectional survey of IT systems in one of tertiary hospitals under the KSMC, Saudi Arabia revealed that the healthcare staff received good support for implementing these systems and overall HIT through the form of EHRs and CPOEs resulted in lowering down transcription errors and medication wastage to a considerable extent (Barakah, </w:t>
      </w:r>
      <w:proofErr w:type="spellStart"/>
      <w:r>
        <w:rPr>
          <w:rFonts w:cs="Times New Roman"/>
        </w:rPr>
        <w:t>Alrobia</w:t>
      </w:r>
      <w:proofErr w:type="spellEnd"/>
      <w:r>
        <w:rPr>
          <w:rFonts w:cs="Times New Roman"/>
        </w:rPr>
        <w:t xml:space="preserve"> &amp; </w:t>
      </w:r>
      <w:proofErr w:type="spellStart"/>
      <w:r>
        <w:rPr>
          <w:rFonts w:cs="Times New Roman"/>
        </w:rPr>
        <w:t>Alwakeel</w:t>
      </w:r>
      <w:proofErr w:type="spellEnd"/>
      <w:r>
        <w:rPr>
          <w:rFonts w:cs="Times New Roman"/>
        </w:rPr>
        <w:t xml:space="preserve">, 2014). Al Kuwaiti, Al Muhanna &amp; Al Amri identified also that academic medical centres in Saudi Arabia can be the new place for development and implementation of digital HIT systems which includes EHRs, PHRs, smartphone application, video imaging methods of smart beds and virtual desktop interface </w:t>
      </w:r>
      <w:proofErr w:type="gramStart"/>
      <w:r>
        <w:rPr>
          <w:rFonts w:cs="Times New Roman"/>
        </w:rPr>
        <w:t>structure..</w:t>
      </w:r>
      <w:proofErr w:type="gramEnd"/>
    </w:p>
    <w:p w:rsidR="00E91236" w:rsidRDefault="00000000" w:rsidP="00056DC2">
      <w:pPr>
        <w:ind w:firstLine="720"/>
        <w:rPr>
          <w:rFonts w:cs="Times New Roman"/>
        </w:rPr>
      </w:pPr>
      <w:r>
        <w:rPr>
          <w:rFonts w:cs="Times New Roman"/>
        </w:rPr>
        <w:lastRenderedPageBreak/>
        <w:t xml:space="preserve">Some caveats to the implementation of a uniform HIT system in Saudi Arabia have been pointed out by Alharbi (2018). These include poor staff training in hospitals; poor implementation of HIT in hospitals managed by the ministry of health (MOH) compared to private hospitals; lack of interoperability; insufficient use of standardized electronic health systems; poor HIT software and infrastructure; shortage of qualified health information management (HIM) professionals; failure in implementing health data standards; and reluctance of IT professionals to adequate train HCP application users (Alharbi, 2018). </w:t>
      </w:r>
      <w:proofErr w:type="spellStart"/>
      <w:r>
        <w:rPr>
          <w:rFonts w:cs="Times New Roman"/>
        </w:rPr>
        <w:t>Alanezi</w:t>
      </w:r>
      <w:proofErr w:type="spellEnd"/>
      <w:r>
        <w:rPr>
          <w:rFonts w:cs="Times New Roman"/>
        </w:rPr>
        <w:t xml:space="preserve"> (2021) has pointed out some additional factors preventing implementation of the e-health system, which include lack of governmental regulations; lack of relationship between doctors and patients; fears regarding privacy violations; and mistrust in online consultations compared to in-person consultations.</w:t>
      </w:r>
    </w:p>
    <w:p w:rsidR="00E91236" w:rsidRDefault="00000000" w:rsidP="00056DC2">
      <w:pPr>
        <w:ind w:firstLine="720"/>
        <w:rPr>
          <w:rFonts w:cs="Times New Roman"/>
        </w:rPr>
      </w:pPr>
      <w:r>
        <w:rPr>
          <w:rFonts w:cs="Times New Roman"/>
        </w:rPr>
        <w:t xml:space="preserve">It is pertinent to note here that limited research has been carried out on health information systems in the Southern region of Saudi Arabia. According to Miladi et al. (2021), solutions to tackle health system problems often fail to specifically address the special characteristics of this region. In this context, the present research can provide invaluable information regarding technology-related efficiency in improving healthcare quality in this region of Saudi Arabia. </w:t>
      </w:r>
    </w:p>
    <w:p w:rsidR="00E91236" w:rsidRDefault="00000000">
      <w:pPr>
        <w:pStyle w:val="Heading4"/>
        <w:rPr>
          <w:rFonts w:cs="Times New Roman"/>
        </w:rPr>
      </w:pPr>
      <w:r>
        <w:rPr>
          <w:rFonts w:cs="Times New Roman"/>
        </w:rPr>
        <w:t>2.3.4. Impact of Health Information Technology on Patient-</w:t>
      </w:r>
      <w:proofErr w:type="spellStart"/>
      <w:r>
        <w:rPr>
          <w:rFonts w:cs="Times New Roman"/>
        </w:rPr>
        <w:t>Centered</w:t>
      </w:r>
      <w:proofErr w:type="spellEnd"/>
      <w:r>
        <w:rPr>
          <w:rFonts w:cs="Times New Roman"/>
        </w:rPr>
        <w:t xml:space="preserve"> Care</w:t>
      </w:r>
    </w:p>
    <w:p w:rsidR="00E91236" w:rsidRDefault="00000000" w:rsidP="00056DC2">
      <w:pPr>
        <w:ind w:firstLine="720"/>
        <w:rPr>
          <w:rFonts w:cs="Times New Roman"/>
        </w:rPr>
      </w:pPr>
      <w:r>
        <w:rPr>
          <w:rFonts w:cs="Times New Roman"/>
        </w:rPr>
        <w:t>Modern medicine is increasingly becoming focused on being patient-</w:t>
      </w:r>
      <w:proofErr w:type="spellStart"/>
      <w:r>
        <w:rPr>
          <w:rFonts w:cs="Times New Roman"/>
        </w:rPr>
        <w:t>centered</w:t>
      </w:r>
      <w:proofErr w:type="spellEnd"/>
      <w:r>
        <w:rPr>
          <w:rFonts w:cs="Times New Roman"/>
        </w:rPr>
        <w:t xml:space="preserve"> as well as technologically advanced. The two facets appear different but are, in fact, closely linked together. There are a number of ways HIT can influence PCC. Bates &amp; Bitton (2010) identified seven key areas where the developments of HIT could impact PCC: this included telehealth, care transitions, PHRs, measurements of quality and efficiency, team care, registries, and clinical decision support systems for chronic diseases.</w:t>
      </w:r>
    </w:p>
    <w:p w:rsidR="00E91236" w:rsidRDefault="00000000" w:rsidP="00056DC2">
      <w:pPr>
        <w:ind w:firstLine="720"/>
        <w:rPr>
          <w:rFonts w:cs="Times New Roman"/>
        </w:rPr>
      </w:pPr>
      <w:r>
        <w:rPr>
          <w:rFonts w:cs="Times New Roman"/>
        </w:rPr>
        <w:t xml:space="preserve">A systematic review on the interrelationship between PCC and HIT showed that PCC related HIT interventions can have several beneficial effects, notably on healthcare process outcomes; intermediate outcomes; disease-specific clinical outcomes; patient-clinician communication and shared decision making; responsiveness to patients’ needs and preferences; and medical information access (Finkelstein et al., 2019). Their findings are supported by Cantiello et al. (2016), who posited that the coordination of data evaluation processes with patient-care efforts can improve the healthcare industry, and that important technological quotients in this </w:t>
      </w:r>
      <w:r>
        <w:rPr>
          <w:rFonts w:cs="Times New Roman"/>
        </w:rPr>
        <w:lastRenderedPageBreak/>
        <w:t>regard include PHRs, registries linked to EHRs, and the Patient-</w:t>
      </w:r>
      <w:proofErr w:type="spellStart"/>
      <w:r>
        <w:rPr>
          <w:rFonts w:cs="Times New Roman"/>
        </w:rPr>
        <w:t>Centered</w:t>
      </w:r>
      <w:proofErr w:type="spellEnd"/>
      <w:r>
        <w:rPr>
          <w:rFonts w:cs="Times New Roman"/>
        </w:rPr>
        <w:t xml:space="preserve"> Medical Home (PCMH) framework.</w:t>
      </w:r>
    </w:p>
    <w:p w:rsidR="00E91236" w:rsidRDefault="00000000" w:rsidP="00056DC2">
      <w:pPr>
        <w:ind w:firstLine="720"/>
        <w:rPr>
          <w:rFonts w:cs="Times New Roman"/>
        </w:rPr>
      </w:pPr>
      <w:r>
        <w:rPr>
          <w:rFonts w:cs="Times New Roman"/>
        </w:rPr>
        <w:t>Implementation of PCC requires shared decision making and understanding and implementing patient’s perspective to meet their healthcare needs. A descriptive study on bedside IT requirements for delivering PCC showed that both patients and clinicians identified five major bedside information requirements, which included diet and nutrition, plan of care, communication of safety alerts, patient education, and medication information; technology can make this information easily available and accessible at the bedside, thereby improving care delivery and outcomes (</w:t>
      </w:r>
      <w:proofErr w:type="spellStart"/>
      <w:r>
        <w:rPr>
          <w:rFonts w:cs="Times New Roman"/>
        </w:rPr>
        <w:t>Caligtan</w:t>
      </w:r>
      <w:proofErr w:type="spellEnd"/>
      <w:r>
        <w:rPr>
          <w:rFonts w:cs="Times New Roman"/>
        </w:rPr>
        <w:t>, 2019). Patients value becoming owners in their treatment; this ownership is a core component of PCC, and HIT can help patients to achieve this ownership over their health and treatment, thereby improving delivery of PCC (Topaz et al., 2019). HIT can also help establish a framework and supports for patient-</w:t>
      </w:r>
      <w:proofErr w:type="spellStart"/>
      <w:r>
        <w:rPr>
          <w:rFonts w:cs="Times New Roman"/>
        </w:rPr>
        <w:t>centered</w:t>
      </w:r>
      <w:proofErr w:type="spellEnd"/>
      <w:r>
        <w:rPr>
          <w:rFonts w:cs="Times New Roman"/>
        </w:rPr>
        <w:t xml:space="preserve"> communication that is paramount in the delivery of PCC (Finney Rutten et al., 2014).</w:t>
      </w:r>
    </w:p>
    <w:p w:rsidR="00E91236" w:rsidRDefault="00000000" w:rsidP="00056DC2">
      <w:pPr>
        <w:ind w:firstLine="720"/>
        <w:rPr>
          <w:rFonts w:cs="Times New Roman"/>
        </w:rPr>
      </w:pPr>
      <w:r>
        <w:rPr>
          <w:rFonts w:cs="Times New Roman"/>
        </w:rPr>
        <w:t xml:space="preserve">Several challenges to link between PCC and HIT have been established. These also include patient-related factors, including application usability and availability, low income, and education, and cognitive issues; system-related barriers pertinent to clinicians encompass depersonalization, data privacy and confidentiality, reimbursement, and IT illiteracy (Finkelstein et al., 2019). </w:t>
      </w:r>
    </w:p>
    <w:p w:rsidR="00E91236" w:rsidRDefault="00000000" w:rsidP="00056DC2">
      <w:pPr>
        <w:ind w:firstLine="720"/>
        <w:rPr>
          <w:rFonts w:cs="Times New Roman"/>
        </w:rPr>
      </w:pPr>
      <w:r>
        <w:rPr>
          <w:rFonts w:cs="Times New Roman"/>
        </w:rPr>
        <w:t xml:space="preserve">HIT has </w:t>
      </w:r>
      <w:proofErr w:type="spellStart"/>
      <w:r>
        <w:rPr>
          <w:rFonts w:cs="Times New Roman"/>
        </w:rPr>
        <w:t>revolutionalized</w:t>
      </w:r>
      <w:proofErr w:type="spellEnd"/>
      <w:r>
        <w:rPr>
          <w:rFonts w:cs="Times New Roman"/>
        </w:rPr>
        <w:t xml:space="preserve"> health care and enhanced patient </w:t>
      </w:r>
      <w:proofErr w:type="spellStart"/>
      <w:r>
        <w:rPr>
          <w:rFonts w:cs="Times New Roman"/>
        </w:rPr>
        <w:t>centered</w:t>
      </w:r>
      <w:proofErr w:type="spellEnd"/>
      <w:r>
        <w:rPr>
          <w:rFonts w:cs="Times New Roman"/>
        </w:rPr>
        <w:t xml:space="preserve"> care by improving communication, increasing access, enhancing efficiency and overall patient satisfaction. Despite the potential to enhance clinically-focused decision making, patients have had increased ability to engage with care through patient portals, telehealth, EHRs, and other digital health technologies. These general objectives highlight one HIT component that specifically contributes to patient-</w:t>
      </w:r>
      <w:proofErr w:type="spellStart"/>
      <w:r>
        <w:rPr>
          <w:rFonts w:cs="Times New Roman"/>
        </w:rPr>
        <w:t>centered</w:t>
      </w:r>
      <w:proofErr w:type="spellEnd"/>
      <w:r>
        <w:rPr>
          <w:rFonts w:cs="Times New Roman"/>
        </w:rPr>
        <w:t xml:space="preserve"> care as a most relevant way through the support to patient-provider collaboration, care organization, and fast, accurate, and targeted therapy </w:t>
      </w:r>
      <w:proofErr w:type="gramStart"/>
      <w:r>
        <w:rPr>
          <w:rFonts w:cs="Times New Roman"/>
        </w:rPr>
        <w:t>provisioning..</w:t>
      </w:r>
      <w:proofErr w:type="gramEnd"/>
    </w:p>
    <w:p w:rsidR="00E91236" w:rsidRDefault="00000000" w:rsidP="00056DC2">
      <w:pPr>
        <w:ind w:firstLine="720"/>
        <w:rPr>
          <w:rFonts w:cs="Times New Roman"/>
        </w:rPr>
      </w:pPr>
      <w:r>
        <w:rPr>
          <w:rFonts w:cs="Times New Roman"/>
        </w:rPr>
        <w:t>Patient-</w:t>
      </w:r>
      <w:proofErr w:type="spellStart"/>
      <w:r>
        <w:rPr>
          <w:rFonts w:cs="Times New Roman"/>
        </w:rPr>
        <w:t>centered</w:t>
      </w:r>
      <w:proofErr w:type="spellEnd"/>
      <w:r>
        <w:rPr>
          <w:rFonts w:cs="Times New Roman"/>
        </w:rPr>
        <w:t xml:space="preserve"> care involves the use of communication between the patients and the healthcare providers. HIT also ensures that the two parties for a particular transaction possess accurate and current information, thus enhancing communication. According to Zhang et al. (2020), EHR use improves communication by providing the healthcare team with an updated and comprehensive view of the patient’s medical histories, current treatments, and tests. This makes it possible for medical practitioners to offer quicker and better decisions, and this reduces the chances </w:t>
      </w:r>
      <w:r>
        <w:rPr>
          <w:rFonts w:cs="Times New Roman"/>
        </w:rPr>
        <w:lastRenderedPageBreak/>
        <w:t>of mistakes and improves patients’ experiences. Moreover, patients are more engaged and satisfied since they are involved in the information process like when they can participate in patient portals or access their records, and thereby comprehend their disorders and treatment plans. Also, Al-</w:t>
      </w:r>
      <w:proofErr w:type="spellStart"/>
      <w:r>
        <w:rPr>
          <w:rFonts w:cs="Times New Roman"/>
        </w:rPr>
        <w:t>Refaie</w:t>
      </w:r>
      <w:proofErr w:type="spellEnd"/>
      <w:r>
        <w:rPr>
          <w:rFonts w:cs="Times New Roman"/>
        </w:rPr>
        <w:t xml:space="preserve"> et al. (2022) establish that tele-billing and e-consultations allow for the direct engagement of patients and physicians, thus ensuring that patient concerns will be quickly addressed, which is essential to patient-centric approaches.</w:t>
      </w:r>
    </w:p>
    <w:p w:rsidR="00E91236" w:rsidRDefault="00000000" w:rsidP="00056DC2">
      <w:pPr>
        <w:ind w:firstLine="720"/>
        <w:rPr>
          <w:rFonts w:cs="Times New Roman"/>
        </w:rPr>
      </w:pPr>
      <w:r>
        <w:rPr>
          <w:rFonts w:cs="Times New Roman"/>
        </w:rPr>
        <w:t>Another concept related to patient-</w:t>
      </w:r>
      <w:proofErr w:type="spellStart"/>
      <w:r>
        <w:rPr>
          <w:rFonts w:cs="Times New Roman"/>
        </w:rPr>
        <w:t>centered</w:t>
      </w:r>
      <w:proofErr w:type="spellEnd"/>
      <w:r>
        <w:rPr>
          <w:rFonts w:cs="Times New Roman"/>
        </w:rPr>
        <w:t xml:space="preserve"> care is to facilitate timely and convenient primary care services. HIT has contributed significantly to accessibility by offering diverse interfaces such as telemedicine, patient paging, and appointment scheduling interfaces. Al-</w:t>
      </w:r>
      <w:proofErr w:type="spellStart"/>
      <w:r>
        <w:rPr>
          <w:rFonts w:cs="Times New Roman"/>
        </w:rPr>
        <w:t>Refaie</w:t>
      </w:r>
      <w:proofErr w:type="spellEnd"/>
      <w:r>
        <w:rPr>
          <w:rFonts w:cs="Times New Roman"/>
        </w:rPr>
        <w:t xml:space="preserve"> et al. (2022) also state that telemedicine allows patients to gain consultations without physical contact, which is rather advantageous for those who live in inaccessible regions or suffer from limited mobility. Telemedicine enables patients to receive care without considerations such as accessibility, cost, and time by doing away with the need for face-to-face visits. This is particularly important to ensure fair distribution of care as well as improving the health of disadvantaged populations.</w:t>
      </w:r>
    </w:p>
    <w:p w:rsidR="00E91236" w:rsidRDefault="00000000" w:rsidP="00056DC2">
      <w:pPr>
        <w:ind w:firstLine="720"/>
        <w:rPr>
          <w:rFonts w:cs="Times New Roman"/>
        </w:rPr>
      </w:pPr>
      <w:r>
        <w:rPr>
          <w:rFonts w:cs="Times New Roman"/>
        </w:rPr>
        <w:t>Another aspect that also aids in the improvement of patient-</w:t>
      </w:r>
      <w:proofErr w:type="spellStart"/>
      <w:r>
        <w:rPr>
          <w:rFonts w:cs="Times New Roman"/>
        </w:rPr>
        <w:t>centered</w:t>
      </w:r>
      <w:proofErr w:type="spellEnd"/>
      <w:r>
        <w:rPr>
          <w:rFonts w:cs="Times New Roman"/>
        </w:rPr>
        <w:t xml:space="preserve"> care is the patient portals which empowers individuals to get access to their medical records, demand renewals of prescriptions as well as communicate with the practitioners. Kuhn et al. (2021) have identified that such platforms enhance patient engagement, as people receive more control over their healthcare experience. This is because patients are more satisfied when they can take their appointments, check their health status, and engage with their care providers at </w:t>
      </w:r>
      <w:proofErr w:type="gramStart"/>
      <w:r>
        <w:rPr>
          <w:rFonts w:cs="Times New Roman"/>
        </w:rPr>
        <w:t>will..</w:t>
      </w:r>
      <w:proofErr w:type="gramEnd"/>
    </w:p>
    <w:p w:rsidR="00E91236" w:rsidRDefault="00000000" w:rsidP="00056DC2">
      <w:pPr>
        <w:ind w:firstLine="720"/>
        <w:rPr>
          <w:rFonts w:cs="Times New Roman"/>
        </w:rPr>
      </w:pPr>
      <w:r>
        <w:rPr>
          <w:rFonts w:cs="Times New Roman"/>
        </w:rPr>
        <w:t>A cornerstone of patient-</w:t>
      </w:r>
      <w:proofErr w:type="spellStart"/>
      <w:r>
        <w:rPr>
          <w:rFonts w:cs="Times New Roman"/>
        </w:rPr>
        <w:t>centered</w:t>
      </w:r>
      <w:proofErr w:type="spellEnd"/>
      <w:r>
        <w:rPr>
          <w:rFonts w:cs="Times New Roman"/>
        </w:rPr>
        <w:t xml:space="preserve"> care involves focusing, tailor-made therapy according to the certain needs and wants of the patient. Particularly though EHRs and health information systems, HIT helps facilitate the provision of patient-</w:t>
      </w:r>
      <w:proofErr w:type="spellStart"/>
      <w:r>
        <w:rPr>
          <w:rFonts w:cs="Times New Roman"/>
        </w:rPr>
        <w:t>centered</w:t>
      </w:r>
      <w:proofErr w:type="spellEnd"/>
      <w:r>
        <w:rPr>
          <w:rFonts w:cs="Times New Roman"/>
        </w:rPr>
        <w:t xml:space="preserve"> care by making certain that the patient data available to the healthcare professionals is complete and accurate. It also helps the medical providers in designing better and effective treatment plan based on the medical history, choice and need of each patient. Electronic health records as described by Greenhalgh et al. (2020) provide improved care coordination beyond different providers as well as enhanced patient data. This is important in such circumstances where the patient has the opportunity to visit different specialists and all the doctors have access to the info in real time thus reducing the chances of </w:t>
      </w:r>
      <w:r>
        <w:rPr>
          <w:rFonts w:cs="Times New Roman"/>
        </w:rPr>
        <w:lastRenderedPageBreak/>
        <w:t>having different doctors prescribe for the same condition without the knowledge of what other doctor has done.</w:t>
      </w:r>
    </w:p>
    <w:p w:rsidR="00E91236" w:rsidRDefault="00000000" w:rsidP="00056DC2">
      <w:pPr>
        <w:ind w:firstLine="720"/>
        <w:rPr>
          <w:rFonts w:cs="Times New Roman"/>
        </w:rPr>
      </w:pPr>
      <w:r>
        <w:rPr>
          <w:rFonts w:cs="Times New Roman"/>
        </w:rPr>
        <w:t xml:space="preserve">Also, patients can be more engaged in decisions regarding their treatment due to the fact that they can receive their records </w:t>
      </w:r>
      <w:proofErr w:type="spellStart"/>
      <w:r>
        <w:rPr>
          <w:rFonts w:cs="Times New Roman"/>
        </w:rPr>
        <w:t>throughpatient</w:t>
      </w:r>
      <w:proofErr w:type="spellEnd"/>
      <w:r>
        <w:rPr>
          <w:rFonts w:cs="Times New Roman"/>
        </w:rPr>
        <w:t xml:space="preserve"> portals. Some of the patient-</w:t>
      </w:r>
      <w:proofErr w:type="spellStart"/>
      <w:r>
        <w:rPr>
          <w:rFonts w:cs="Times New Roman"/>
        </w:rPr>
        <w:t>centered</w:t>
      </w:r>
      <w:proofErr w:type="spellEnd"/>
      <w:r>
        <w:rPr>
          <w:rFonts w:cs="Times New Roman"/>
        </w:rPr>
        <w:t xml:space="preserve"> care imperatives include patient engagement as regards decision-making processes, with patients contributing on matters of decision-making on what they believe in.</w:t>
      </w:r>
    </w:p>
    <w:p w:rsidR="00E91236" w:rsidRDefault="00000000" w:rsidP="00056DC2">
      <w:pPr>
        <w:ind w:firstLine="720"/>
        <w:rPr>
          <w:rFonts w:cs="Times New Roman"/>
        </w:rPr>
      </w:pPr>
      <w:r>
        <w:rPr>
          <w:rFonts w:cs="Times New Roman"/>
        </w:rPr>
        <w:t xml:space="preserve">There is, however, one close and direct connection through the way the HIT affects patient engagement in the treatment of the diseases. Patient engagement is how involved the patient themselves are in managing their own treatment and how involved and satisfied the patient should be for better treatment outcome. These technologies help patient manage their health status, receive medicine reminders, and receive follow-on treatment without the need to visit a doctor in person; this increases patients’ satisfaction levels and </w:t>
      </w:r>
      <w:proofErr w:type="gramStart"/>
      <w:r>
        <w:rPr>
          <w:rFonts w:cs="Times New Roman"/>
        </w:rPr>
        <w:t>effectiveness..</w:t>
      </w:r>
      <w:proofErr w:type="gramEnd"/>
    </w:p>
    <w:p w:rsidR="00E91236" w:rsidRDefault="00000000" w:rsidP="00056DC2">
      <w:pPr>
        <w:ind w:firstLine="720"/>
        <w:rPr>
          <w:rFonts w:cs="Times New Roman"/>
        </w:rPr>
      </w:pPr>
      <w:r>
        <w:rPr>
          <w:rFonts w:cs="Times New Roman"/>
        </w:rPr>
        <w:t xml:space="preserve">Neves et al. (2021) also note how EHRs and telemedicine may enhance the patient engagement by leaving the opportunity to provide continuous follow-up. Patients are happier with their health care experience because of this constant contact, which also gives them an assurance. Some benefits of the constant access to different types of remotely provided care </w:t>
      </w:r>
      <w:proofErr w:type="gramStart"/>
      <w:r>
        <w:rPr>
          <w:rFonts w:cs="Times New Roman"/>
        </w:rPr>
        <w:t>is</w:t>
      </w:r>
      <w:proofErr w:type="gramEnd"/>
      <w:r>
        <w:rPr>
          <w:rFonts w:cs="Times New Roman"/>
        </w:rPr>
        <w:t xml:space="preserve"> the increased sense of ownership and participation in one’s healthcare process.</w:t>
      </w:r>
    </w:p>
    <w:p w:rsidR="00E91236" w:rsidRDefault="00000000" w:rsidP="00056DC2">
      <w:pPr>
        <w:ind w:firstLine="720"/>
        <w:rPr>
          <w:rFonts w:cs="Times New Roman"/>
        </w:rPr>
      </w:pPr>
      <w:r>
        <w:rPr>
          <w:rFonts w:cs="Times New Roman"/>
        </w:rPr>
        <w:t>Thus, safety is one of the most important components of Patient-</w:t>
      </w:r>
      <w:proofErr w:type="spellStart"/>
      <w:r>
        <w:rPr>
          <w:rFonts w:cs="Times New Roman"/>
        </w:rPr>
        <w:t>Centered</w:t>
      </w:r>
      <w:proofErr w:type="spellEnd"/>
      <w:r>
        <w:rPr>
          <w:rFonts w:cs="Times New Roman"/>
        </w:rPr>
        <w:t xml:space="preserve"> care, and HIT improves safety in specific ways that reduce medical errors while strengthening clinical reasoning. EHRs have alert systems for drug interactions, allergies, and other possible issues, so the chances of medication mistakes are reduced (Al-</w:t>
      </w:r>
      <w:proofErr w:type="spellStart"/>
      <w:r>
        <w:rPr>
          <w:rFonts w:cs="Times New Roman"/>
        </w:rPr>
        <w:t>Shorbaji</w:t>
      </w:r>
      <w:proofErr w:type="spellEnd"/>
      <w:r>
        <w:rPr>
          <w:rFonts w:cs="Times New Roman"/>
        </w:rPr>
        <w:t xml:space="preserve"> et al., 2019). They are most valuable in complex clinical conditions where such clinical characteristics enhance clinical decision-making and help mitigate the risks of manual processes. In addition, HIT systems provide better tools for documenting the patient records, making sure that clinicians get accurate updated patient data to reduce the risk of wrong diagnosis or improper treatment plan.</w:t>
      </w:r>
    </w:p>
    <w:p w:rsidR="00E91236" w:rsidRDefault="00000000" w:rsidP="00056DC2">
      <w:pPr>
        <w:ind w:firstLine="720"/>
        <w:rPr>
          <w:rFonts w:cs="Times New Roman"/>
        </w:rPr>
      </w:pPr>
      <w:r>
        <w:rPr>
          <w:rFonts w:cs="Times New Roman"/>
        </w:rPr>
        <w:t xml:space="preserve">Further HIT systems enable the healthcare providers to devote ample time with the patients through efficient and minimization of administrative tasks, leading to improved patient satisfaction and </w:t>
      </w:r>
      <w:proofErr w:type="gramStart"/>
      <w:r>
        <w:rPr>
          <w:rFonts w:cs="Times New Roman"/>
        </w:rPr>
        <w:t>safety..</w:t>
      </w:r>
      <w:proofErr w:type="gramEnd"/>
    </w:p>
    <w:p w:rsidR="00E91236" w:rsidRDefault="00000000">
      <w:pPr>
        <w:pStyle w:val="Heading4"/>
        <w:rPr>
          <w:rFonts w:cs="Times New Roman"/>
        </w:rPr>
      </w:pPr>
      <w:r>
        <w:rPr>
          <w:rFonts w:cs="Times New Roman"/>
        </w:rPr>
        <w:lastRenderedPageBreak/>
        <w:t>2.3.5. Health Information Technology and Patient Satisfaction</w:t>
      </w:r>
    </w:p>
    <w:p w:rsidR="00E91236" w:rsidRDefault="00000000" w:rsidP="00056DC2">
      <w:pPr>
        <w:ind w:firstLine="720"/>
        <w:rPr>
          <w:rFonts w:cs="Times New Roman"/>
        </w:rPr>
      </w:pPr>
      <w:r>
        <w:rPr>
          <w:rFonts w:cs="Times New Roman"/>
        </w:rPr>
        <w:t xml:space="preserve">Concerning the degree of patient satisfaction, which defines the extent of patient centeredness, HIT has a relatively good effect. Interestingly, HIT has an intertwined relationship with patient satisfaction. The implementation of HIT in hospitals in its full potential has the potential to enhance patient satisfaction area based on the simulated work of the system through the application of artificial neural networks anticipating the effects of the integration of HIT on the satisfaction of patients under several conditions (Roham, Gabrielyan &amp; Archer, 2019). They can only benefit from it, rate it if only they accept HIT first. Acceptance of HIT differs with patients’ income and education level, accessibility and availability of these technologies, usability and patient-specific factors concerning health and treatment (Or &amp; Karsh, 2009). Over time, patients have </w:t>
      </w:r>
      <w:proofErr w:type="spellStart"/>
      <w:proofErr w:type="gramStart"/>
      <w:r>
        <w:rPr>
          <w:rFonts w:cs="Times New Roman"/>
        </w:rPr>
        <w:t>began</w:t>
      </w:r>
      <w:proofErr w:type="spellEnd"/>
      <w:proofErr w:type="gramEnd"/>
      <w:r>
        <w:rPr>
          <w:rFonts w:cs="Times New Roman"/>
        </w:rPr>
        <w:t xml:space="preserve"> to understand the benefits that comes with the implementation of HIT and this is more evident in their perceptions and attitudes regarding appointment scheduling, and electronic health (Handan, 2016).</w:t>
      </w:r>
    </w:p>
    <w:p w:rsidR="00E91236" w:rsidRDefault="00000000" w:rsidP="00056DC2">
      <w:pPr>
        <w:ind w:firstLine="720"/>
        <w:rPr>
          <w:rFonts w:cs="Times New Roman"/>
        </w:rPr>
      </w:pPr>
      <w:r>
        <w:rPr>
          <w:rFonts w:cs="Times New Roman"/>
        </w:rPr>
        <w:t xml:space="preserve">Through openness, availability, purpose, and quality, HIT, has become an important part of modern medicine and significantly affects perceptions of care satisfaction. Other examples include Electronic Health Records (EHRs), patient portals, telemedicine, and Health Monitoring devices are all subcategories under Health Information Technology (HIT) and all serve to enhance the patient experience. Patients benefit from improved care coordination, effective personalized treatment approaches, and increased convenience as those technologies remain adopted and implemented by these healthcare organizations as they elevate patient </w:t>
      </w:r>
      <w:proofErr w:type="gramStart"/>
      <w:r>
        <w:rPr>
          <w:rFonts w:cs="Times New Roman"/>
        </w:rPr>
        <w:t>satisfaction..</w:t>
      </w:r>
      <w:proofErr w:type="gramEnd"/>
    </w:p>
    <w:p w:rsidR="00E91236" w:rsidRDefault="00000000" w:rsidP="00056DC2">
      <w:pPr>
        <w:ind w:firstLine="720"/>
        <w:rPr>
          <w:rFonts w:cs="Times New Roman"/>
        </w:rPr>
      </w:pPr>
      <w:r>
        <w:rPr>
          <w:rFonts w:cs="Times New Roman"/>
        </w:rPr>
        <w:t xml:space="preserve">Thus, patient satisfaction is one of the benefits of HIT through enhanced communication between patients and caregivers. For instance, EHRs allow the healthcare practitioners gain immediate and full patient information hence improving the communication and </w:t>
      </w:r>
      <w:proofErr w:type="gramStart"/>
      <w:r>
        <w:rPr>
          <w:rFonts w:cs="Times New Roman"/>
        </w:rPr>
        <w:t>decision making</w:t>
      </w:r>
      <w:proofErr w:type="gramEnd"/>
      <w:r>
        <w:rPr>
          <w:rFonts w:cs="Times New Roman"/>
        </w:rPr>
        <w:t xml:space="preserve"> processes. In the study by Zhang et al. (2020), EHRs enhance care coordination because they provide physicians with an online database that is available to all care givers, thus reducing the likelihood of confusion or mistakes. This communication improvement leads to higher satisfaction level that can be attributed with patients receiving timely, informed and coherent care. In addition, the patients’ confidence is built on the central components of HIT since they view their doctors as informed and participating in their care plans due to effective information sharing between suppliers.</w:t>
      </w:r>
    </w:p>
    <w:p w:rsidR="00E91236" w:rsidRDefault="00000000" w:rsidP="00056DC2">
      <w:pPr>
        <w:ind w:firstLine="720"/>
        <w:rPr>
          <w:rFonts w:cs="Times New Roman"/>
        </w:rPr>
      </w:pPr>
      <w:r>
        <w:rPr>
          <w:rFonts w:cs="Times New Roman"/>
        </w:rPr>
        <w:lastRenderedPageBreak/>
        <w:t>Besides, patient portals are also important for improving patients’ satisfaction and engagement. These aspects include scheduling for an appointment, contacting clinical staff, accessing patient records and information, and even requesting for prescription renewals. Enabling patients to take control of managing their health gives them a perceived control over the choices made regarding their health hence increasing satisfaction and involvement (Kuhn et al., 2021). The patients who self-experience the actuality that they are more involved in the healthcare process as they can directly contact with their clinicians and can get their health information easily, they do feel appreciated.</w:t>
      </w:r>
    </w:p>
    <w:p w:rsidR="00E91236" w:rsidRDefault="00000000" w:rsidP="00056DC2">
      <w:pPr>
        <w:ind w:firstLine="720"/>
        <w:rPr>
          <w:rFonts w:cs="Times New Roman"/>
        </w:rPr>
      </w:pPr>
      <w:r>
        <w:rPr>
          <w:rFonts w:cs="Times New Roman"/>
        </w:rPr>
        <w:t>Another reason for satisfaction is the increased accessibility and convenience resulting from the implementation of HIT. Telemedicine and online appointment systems – patients can get the healthcare services they need from their house, without the need for car or time-wasting queues. Telemedicine is considered important by Al-</w:t>
      </w:r>
      <w:proofErr w:type="spellStart"/>
      <w:r>
        <w:rPr>
          <w:rFonts w:cs="Times New Roman"/>
        </w:rPr>
        <w:t>Refaie</w:t>
      </w:r>
      <w:proofErr w:type="spellEnd"/>
      <w:r>
        <w:rPr>
          <w:rFonts w:cs="Times New Roman"/>
        </w:rPr>
        <w:t xml:space="preserve"> et al. (2022) since it allows people to consult with physicians from the comfort of their home, which is useful especially for the population that lives in areas with limited access to healthcare. Telemedicine eliminates barriers that result to negative patient attitudes including; waiting time, costs of transport and physical access issues. By increasing the availability of and subsequently reducing the cost of healthcare, the ability to receive care at home and the capacity to arrange subsequent consultations without visiting a clinic enhances patient </w:t>
      </w:r>
      <w:proofErr w:type="gramStart"/>
      <w:r>
        <w:rPr>
          <w:rFonts w:cs="Times New Roman"/>
        </w:rPr>
        <w:t>satisfaction..</w:t>
      </w:r>
      <w:proofErr w:type="gramEnd"/>
    </w:p>
    <w:p w:rsidR="00E91236" w:rsidRDefault="00000000" w:rsidP="00056DC2">
      <w:pPr>
        <w:ind w:firstLine="720"/>
        <w:rPr>
          <w:rFonts w:cs="Times New Roman"/>
        </w:rPr>
      </w:pPr>
      <w:r>
        <w:rPr>
          <w:rFonts w:cs="Times New Roman"/>
        </w:rPr>
        <w:t>Similarly, other forms of technologies such as appointment bookings and online portals for patients also increase access to care. To reduce the inconvenience caused by having to wait for long hours or having to make an appointment at a time that is between office hours, patients can easily make appointments at their own convenient time. Referring to Jha et al. (2018), healthcare professionals can enhance patient satisfaction, reduce waits time and ensure more timely access to care through improving scheduling systems with digital integrated advancements. If patient can easily make appointments and have availability to information regarding their treatment plans, they will be more likely to have a positive experience overall.</w:t>
      </w:r>
    </w:p>
    <w:p w:rsidR="00E91236" w:rsidRDefault="00000000" w:rsidP="00056DC2">
      <w:pPr>
        <w:ind w:firstLine="720"/>
        <w:rPr>
          <w:rFonts w:cs="Times New Roman"/>
        </w:rPr>
      </w:pPr>
      <w:r>
        <w:rPr>
          <w:rFonts w:cs="Times New Roman"/>
        </w:rPr>
        <w:t xml:space="preserve">Since HIT enhances individualized care delivery and health outcomes, it is also instrumental in improving patient satisfaction. This is helpful to healthcare professionals as it enables them to be more prepared and deliver individualized treatment programs for each customer since they have access to complete, updated medical information on their client. Through </w:t>
      </w:r>
      <w:r>
        <w:rPr>
          <w:rFonts w:cs="Times New Roman"/>
        </w:rPr>
        <w:lastRenderedPageBreak/>
        <w:t>technologies</w:t>
      </w:r>
      <w:r w:rsidR="004B2DD8">
        <w:rPr>
          <w:rFonts w:cs="Times New Roman"/>
        </w:rPr>
        <w:t xml:space="preserve">, </w:t>
      </w:r>
      <w:r>
        <w:rPr>
          <w:rFonts w:cs="Times New Roman"/>
        </w:rPr>
        <w:t>doctors can track patient histories, preferences, and treatment outcomes, thus making it easier to develop personalized approaches to care that are consistent with patient’s values and health goals, as noted by Al-Qirim (2020). Thus, the specific needs of the patient are fulfilled and the latter will be satisfied with the course of therapy and outcomes.</w:t>
      </w:r>
    </w:p>
    <w:p w:rsidR="00E91236" w:rsidRDefault="00000000" w:rsidP="00056DC2">
      <w:pPr>
        <w:ind w:firstLine="720"/>
        <w:rPr>
          <w:rFonts w:cs="Times New Roman"/>
        </w:rPr>
      </w:pPr>
      <w:r>
        <w:rPr>
          <w:rFonts w:cs="Times New Roman"/>
        </w:rPr>
        <w:t xml:space="preserve">HIT also helps to enhance the co-ordination of care especially for patients with elaborated care needs or chronic conditions. In the words of Greenhalgh et al. (2020), use of EHRs ensure that all the people involved in treating the patient obtain comprehensive data on his/her condition, which reduces fragmentation of care and errors. This cooperation is beneficial since it leads to better health outcomes, improved treatment, and patient </w:t>
      </w:r>
      <w:proofErr w:type="gramStart"/>
      <w:r>
        <w:rPr>
          <w:rFonts w:cs="Times New Roman"/>
        </w:rPr>
        <w:t>satisfaction..</w:t>
      </w:r>
      <w:proofErr w:type="gramEnd"/>
    </w:p>
    <w:p w:rsidR="00E91236" w:rsidRDefault="00000000" w:rsidP="00056DC2">
      <w:pPr>
        <w:ind w:firstLine="720"/>
        <w:rPr>
          <w:rFonts w:cs="Times New Roman"/>
        </w:rPr>
      </w:pPr>
      <w:r>
        <w:rPr>
          <w:rFonts w:cs="Times New Roman"/>
          <w:lang w:val="en-US"/>
        </w:rPr>
        <w:t>Another important aspect of healthcare organizations is patient safety, and statistics have shown that the application of HIT leads to reduction in errors and if associated with increased safety and that in turns increases satisfaction amongst the patients. Al-</w:t>
      </w:r>
      <w:proofErr w:type="spellStart"/>
      <w:r>
        <w:rPr>
          <w:rFonts w:cs="Times New Roman"/>
          <w:lang w:val="en-US"/>
        </w:rPr>
        <w:t>Shorbaji</w:t>
      </w:r>
      <w:proofErr w:type="spellEnd"/>
      <w:r>
        <w:rPr>
          <w:rFonts w:cs="Times New Roman"/>
          <w:lang w:val="en-US"/>
        </w:rPr>
        <w:t xml:space="preserve"> et al. (2019) note that alerting flagged for potential drug interactions and allergy, EHRs help reduce prescription mistakes. Due to such measures, patients do not suffer from counteracting drug effects, and increase satisfaction with the system in general. In addition, HIT eliminates or reduces the likelihood of errors since repetitive functions such as data input are automated through HIT. This way, since patient’s safety matters most, they have trust on the healthcare system.</w:t>
      </w:r>
    </w:p>
    <w:p w:rsidR="00E91236" w:rsidRDefault="00000000" w:rsidP="00056DC2">
      <w:pPr>
        <w:ind w:firstLine="720"/>
        <w:rPr>
          <w:rFonts w:cs="Times New Roman"/>
        </w:rPr>
      </w:pPr>
      <w:r>
        <w:rPr>
          <w:rFonts w:cs="Times New Roman"/>
          <w:lang w:val="en-US"/>
        </w:rPr>
        <w:t>In this regard, the outcomes of ineffective treatments or false and improper diagnosis are minimized by the integrated decision support systems, such as clinical decision support systems (CDSS), which assists healthcare professionals to make plausible judgments in the context of ever-growing information flow. These technologies make overall safety and quality care improved thus enhancing patient’s confidence in the healthcare sector and hence satisfaction levels (Baker, et al., 2018).</w:t>
      </w:r>
    </w:p>
    <w:p w:rsidR="00E91236" w:rsidRDefault="00000000" w:rsidP="00056DC2">
      <w:pPr>
        <w:ind w:firstLine="720"/>
        <w:rPr>
          <w:rFonts w:cs="Times New Roman"/>
        </w:rPr>
      </w:pPr>
      <w:r>
        <w:rPr>
          <w:rFonts w:cs="Times New Roman"/>
          <w:lang w:val="en-US"/>
        </w:rPr>
        <w:t xml:space="preserve">Engagement of a patient is another critical consideration in determining the satisfaction levels of patients and once again, HIT is key to this engagement. Possible adverse outcomes of giving patients more control over their health include availing of patient portals, health applications, and remote monitoring devices. Neves et al., (2021) have it that, telemedicine platforms and EHR increase patients’ involvement by enhancing engagement that allows them to track their diseases. The patients’ engagement increases together with their satisfaction with care when they can directly access personally identifiable health information and communicate with </w:t>
      </w:r>
      <w:r>
        <w:rPr>
          <w:rFonts w:cs="Times New Roman"/>
          <w:lang w:val="en-US"/>
        </w:rPr>
        <w:lastRenderedPageBreak/>
        <w:t>the healthcare providers. Also, digital health tools are convenient for patients, and they can follow their progress and participate in their treatment and, thus, the patient experience is improved.</w:t>
      </w:r>
    </w:p>
    <w:p w:rsidR="00E91236" w:rsidRDefault="00000000" w:rsidP="00056DC2">
      <w:pPr>
        <w:ind w:firstLine="720"/>
        <w:rPr>
          <w:rFonts w:cs="Times New Roman"/>
        </w:rPr>
      </w:pPr>
      <w:r>
        <w:rPr>
          <w:rFonts w:cs="Times New Roman"/>
          <w:lang w:val="en-US"/>
        </w:rPr>
        <w:t>Of the HIT projects, the first one is health information exchange (HIE), which is defined as the sharing of data between organizations to primarily aim at enhancing patient satisfaction and communication among many clinicians from different settings. More significant patient satisfaction has been observed to relate to increased HIE settings, and uptake, thus indicating better healthcare exchange communication (Vest &amp; Miller, 2011</w:t>
      </w:r>
      <w:proofErr w:type="gramStart"/>
      <w:r>
        <w:rPr>
          <w:rFonts w:cs="Times New Roman"/>
          <w:lang w:val="en-US"/>
        </w:rPr>
        <w:t>).</w:t>
      </w:r>
      <w:r>
        <w:rPr>
          <w:rFonts w:cs="Times New Roman"/>
        </w:rPr>
        <w:t>.</w:t>
      </w:r>
      <w:proofErr w:type="gramEnd"/>
    </w:p>
    <w:p w:rsidR="00E91236" w:rsidRDefault="00000000" w:rsidP="00056DC2">
      <w:pPr>
        <w:ind w:firstLine="720"/>
        <w:rPr>
          <w:rFonts w:cs="Times New Roman"/>
        </w:rPr>
      </w:pPr>
      <w:r>
        <w:rPr>
          <w:rFonts w:cs="Times New Roman"/>
        </w:rPr>
        <w:t xml:space="preserve">Quantitative assessment of the impact of an HIT intervention, such as examination room computers in outpatient departments, required patients to be polled two months before the intervention and one and seven months after. The purpose of the surveys was to gauge the patients' satisfaction in three main areas: the constitutive elements of the visit, their perception of the visit, and their beliefs regarding the use of computers by doctors. Citing Hsu et al. (2005), the study also found out that the adoption of computers in solving patient satisfaction enhanced the patients, doctors’ intimacy and interaction, and enhanced understanding of patients’ decision making since it shortened the visits. HIT is also used in other studies to increase patient satisfaction in EHRs, CPOE, CDSS and telemedicine </w:t>
      </w:r>
      <w:proofErr w:type="gramStart"/>
      <w:r>
        <w:rPr>
          <w:rFonts w:cs="Times New Roman"/>
        </w:rPr>
        <w:t>systems(</w:t>
      </w:r>
      <w:proofErr w:type="gramEnd"/>
      <w:r>
        <w:rPr>
          <w:rFonts w:cs="Times New Roman"/>
        </w:rPr>
        <w:t>HIT, 2018).</w:t>
      </w:r>
    </w:p>
    <w:p w:rsidR="00E91236" w:rsidRDefault="00000000" w:rsidP="00056DC2">
      <w:pPr>
        <w:ind w:firstLine="720"/>
        <w:rPr>
          <w:rFonts w:cs="Times New Roman"/>
        </w:rPr>
      </w:pPr>
      <w:r>
        <w:rPr>
          <w:rFonts w:cs="Times New Roman"/>
        </w:rPr>
        <w:t xml:space="preserve">There is however a new type of HIT systems that has developed recently and include EWOM from healthcare organizations and the MIHS. They make communication between patient and provider more interactive and contain simpler interfaces. Applying these technologies was positively linked to patients’ satisfaction in </w:t>
      </w:r>
      <w:proofErr w:type="gramStart"/>
      <w:r>
        <w:rPr>
          <w:rFonts w:cs="Times New Roman"/>
        </w:rPr>
        <w:t>a Chinese research</w:t>
      </w:r>
      <w:proofErr w:type="gramEnd"/>
      <w:r>
        <w:rPr>
          <w:rFonts w:cs="Times New Roman"/>
        </w:rPr>
        <w:t xml:space="preserve"> by Gu et al. The Online Patient-Provider Communication (OPPC) system is also a related idea which has also been considered as a variable more closely related to patient satisfaction. SEP, OEP, and PBC affect OPPC positively because the capacity of the patient to behave affects the general, emotional and physical health results, and the increase in patient satisfaction directly leads to an increase in basic health outcomes (Jiang, 2018). The strengths, benefits and uses of these new technologies, nevertheless, have not been explored enough.</w:t>
      </w:r>
    </w:p>
    <w:p w:rsidR="00FC17A0" w:rsidRPr="00EC2AAC" w:rsidRDefault="00FC17A0" w:rsidP="00FC17A0">
      <w:pPr>
        <w:pStyle w:val="Heading3"/>
        <w:rPr>
          <w:rFonts w:cs="Times New Roman"/>
        </w:rPr>
      </w:pPr>
      <w:r w:rsidRPr="00EC2AAC">
        <w:rPr>
          <w:rFonts w:cs="Times New Roman"/>
        </w:rPr>
        <w:t>2.4. RESEARCH VARIABLES</w:t>
      </w:r>
    </w:p>
    <w:p w:rsidR="00FC17A0" w:rsidRDefault="00FC17A0" w:rsidP="00056DC2">
      <w:pPr>
        <w:ind w:firstLine="720"/>
      </w:pPr>
      <w:r w:rsidRPr="00EC2AAC">
        <w:t xml:space="preserve">Research variables are defined as attributes of the object of study. Variables can also represent a logical grouping of attributes and are usually </w:t>
      </w:r>
      <w:r w:rsidR="000F771F" w:rsidRPr="000F771F">
        <w:t xml:space="preserve">described in terms of quantifiable </w:t>
      </w:r>
      <w:r w:rsidRPr="00EC2AAC">
        <w:t xml:space="preserve">factors through an operationalization process (Kaur, 2018). Research variables are of different types and </w:t>
      </w:r>
      <w:r w:rsidRPr="00EC2AAC">
        <w:lastRenderedPageBreak/>
        <w:t>can reflect either the type of data contained in the study (e.g., continuous and categorical variables) or the part of the research experiment which they represent (e.g., independent and dependent variables).</w:t>
      </w:r>
    </w:p>
    <w:p w:rsidR="00FC17A0" w:rsidRDefault="00FC17A0" w:rsidP="000F771F">
      <w:pPr>
        <w:ind w:firstLine="720"/>
      </w:pPr>
      <w:r>
        <w:rPr>
          <w:b/>
        </w:rPr>
        <w:t xml:space="preserve">Independent variables, </w:t>
      </w:r>
      <w:r>
        <w:t xml:space="preserve">also known as the treatment or antecedent variables, are the ones which can be </w:t>
      </w:r>
      <w:r w:rsidR="004B2DD8">
        <w:t>changed</w:t>
      </w:r>
      <w:r>
        <w:t xml:space="preserve"> in order to influence the outcome of the experiment. </w:t>
      </w:r>
      <w:r>
        <w:rPr>
          <w:b/>
        </w:rPr>
        <w:t>Dependent variables,</w:t>
      </w:r>
      <w:r>
        <w:t xml:space="preserve"> or consequent or response variables represent the outcome of the experiment and are affected by changes in the independent variables. There are certain other variables which remain constant throughout the course of the study: these are usually known as </w:t>
      </w:r>
      <w:r>
        <w:rPr>
          <w:b/>
        </w:rPr>
        <w:t>Control variables</w:t>
      </w:r>
      <w:r>
        <w:t xml:space="preserve">. </w:t>
      </w:r>
    </w:p>
    <w:p w:rsidR="00FC17A0" w:rsidRDefault="00FC17A0" w:rsidP="000F771F">
      <w:pPr>
        <w:ind w:firstLine="720"/>
      </w:pPr>
      <w:r>
        <w:t xml:space="preserve">The interrelationship between variables can be outlined by mediator and moderator variables. </w:t>
      </w:r>
      <w:r>
        <w:rPr>
          <w:b/>
        </w:rPr>
        <w:t>Mediating or mediator variables</w:t>
      </w:r>
      <w:r>
        <w:t xml:space="preserve"> describe the process by which any two variables are related to each other. The strength and direction of this relationship is, in turn, defined through </w:t>
      </w:r>
      <w:r>
        <w:rPr>
          <w:b/>
        </w:rPr>
        <w:t>Moderating variables</w:t>
      </w:r>
      <w:r>
        <w:t xml:space="preserve">. A mediator variable is usually caused by the independent variable and affects the dependent variable; it influences the strength of statistical correlation between the independent and dependent variable. Moderator variables, on the other hand, can be continuous or categorical variables such as ethnicity, age, race etc., which influence the level and direction of relationship </w:t>
      </w:r>
      <w:r w:rsidR="004B2DD8">
        <w:t>among</w:t>
      </w:r>
      <w:r>
        <w:t xml:space="preserve"> variables. Including these variables in the study design clarifies the purpose of the intervention and allows for alternative interpretations of the study results; this improves the research design and allows more information to be extracted from the study (Mackinnon, 2011).</w:t>
      </w:r>
    </w:p>
    <w:p w:rsidR="00FC17A0" w:rsidRDefault="00FC17A0" w:rsidP="000F771F">
      <w:pPr>
        <w:ind w:firstLine="720"/>
      </w:pPr>
      <w:r>
        <w:t>The study variables in the present research are described below, on the basis of which the conceptual framework will be formulated.</w:t>
      </w:r>
    </w:p>
    <w:p w:rsidR="00FC17A0" w:rsidRDefault="00FC17A0" w:rsidP="00FC17A0">
      <w:pPr>
        <w:pStyle w:val="Heading4"/>
      </w:pPr>
      <w:r>
        <w:t>2.4.1. Dependent Variables and their Measurement</w:t>
      </w:r>
    </w:p>
    <w:p w:rsidR="00FC17A0" w:rsidRDefault="00FC17A0" w:rsidP="000F771F">
      <w:pPr>
        <w:ind w:firstLine="720"/>
      </w:pPr>
      <w:r>
        <w:t xml:space="preserve">Based on the </w:t>
      </w:r>
      <w:r w:rsidR="004B2DD8">
        <w:t>study</w:t>
      </w:r>
      <w:r>
        <w:t xml:space="preserve"> objectives, the following dependent variables are defined in our research:</w:t>
      </w:r>
    </w:p>
    <w:p w:rsidR="00FC17A0" w:rsidRDefault="00FC17A0" w:rsidP="00FC17A0">
      <w:pPr>
        <w:pStyle w:val="Heading5"/>
        <w:rPr>
          <w:rFonts w:cs="Times New Roman"/>
        </w:rPr>
      </w:pPr>
      <w:r>
        <w:rPr>
          <w:rFonts w:cs="Times New Roman"/>
        </w:rPr>
        <w:t>2.4.1.1. Patient education</w:t>
      </w:r>
    </w:p>
    <w:p w:rsidR="000F771F" w:rsidRDefault="00FC17A0" w:rsidP="000F771F">
      <w:pPr>
        <w:ind w:firstLine="720"/>
      </w:pPr>
      <w:r>
        <w:t xml:space="preserve">Patient education </w:t>
      </w:r>
      <w:r w:rsidR="00774D21">
        <w:t>is</w:t>
      </w:r>
      <w:r>
        <w:t xml:space="preserve"> important factor which affects the provision of patient-</w:t>
      </w:r>
      <w:proofErr w:type="spellStart"/>
      <w:r>
        <w:t>centered</w:t>
      </w:r>
      <w:proofErr w:type="spellEnd"/>
      <w:r>
        <w:t xml:space="preserve"> care and the perceptions around patient satisfaction. Patient education is important factor in defining </w:t>
      </w:r>
      <w:r>
        <w:rPr>
          <w:i/>
        </w:rPr>
        <w:t>patient engagement in care</w:t>
      </w:r>
      <w:r>
        <w:t xml:space="preserve">, which is an important attribute of PCC (Davis, Schoenbaum &amp; Audet, 2005). Patient education is an ongoing process and depends on several factors: these include previous educational background of patients and their families; provision of healthcare information </w:t>
      </w:r>
      <w:r>
        <w:lastRenderedPageBreak/>
        <w:t xml:space="preserve">to patients in the healthcare setting; and capacity of patients to understand information and utilize it in their care process. </w:t>
      </w:r>
    </w:p>
    <w:p w:rsidR="00FC17A0" w:rsidRDefault="00FC17A0" w:rsidP="000F771F">
      <w:pPr>
        <w:ind w:firstLine="720"/>
      </w:pPr>
      <w:r>
        <w:t>In a study conducted across clinics in Taiwan, patients were provided information about disease prevention and control during their clinic visit and were later surveyed using a telephonic interview to measure satisfaction and recommendation. Patient education was found to be related to both overall patient satisfaction as well as recommendation (Tung &amp; Chang, 2009). Patient education has been identified as one of the basic tenets for patient-</w:t>
      </w:r>
      <w:proofErr w:type="spellStart"/>
      <w:r>
        <w:t>centered</w:t>
      </w:r>
      <w:proofErr w:type="spellEnd"/>
      <w:r>
        <w:t xml:space="preserve"> care in the Planetree model as well as described above (Shaller, 2007). For patients with chronic conditions, education is especially important, as it can improve adherence to self-management regimes, especially when coupled with timely follow-up visits, psychosocial support and progress reports of patients (Robinson et al., 2008).   </w:t>
      </w:r>
    </w:p>
    <w:p w:rsidR="00FC17A0" w:rsidRDefault="00FC17A0" w:rsidP="000F771F">
      <w:pPr>
        <w:ind w:firstLine="720"/>
      </w:pPr>
      <w:r>
        <w:t>It is important that measures to improve patient education are introduced in models surrounding patient-</w:t>
      </w:r>
      <w:proofErr w:type="spellStart"/>
      <w:r>
        <w:t>centered</w:t>
      </w:r>
      <w:proofErr w:type="spellEnd"/>
      <w:r>
        <w:t xml:space="preserve"> care. Provision of patient education can be by several means, including during patient-provider interactions, through the use of analogies or visual aids, through non-face-to-face communication methods such as print, Internet and telephone calls, and through disease management programs for chronic conditions which are offered at medical </w:t>
      </w:r>
      <w:proofErr w:type="spellStart"/>
      <w:r>
        <w:t>centers</w:t>
      </w:r>
      <w:proofErr w:type="spellEnd"/>
      <w:r>
        <w:t xml:space="preserve"> or health systems (Hughes, 2003; Sweet, 2004; Robinson et al., 2008). Measurement of patient education can be carried out quantitatively using cross-sectional surveys as well as through qualitative interviews and focus group discussions. It is important to measure patient education before and after the provision of information, since determining patient knowledge can be a predictor for patient satisfaction, and subsequently a marker for quality of healthcare services. </w:t>
      </w:r>
    </w:p>
    <w:p w:rsidR="00FC17A0" w:rsidRDefault="00FC17A0" w:rsidP="000F771F">
      <w:pPr>
        <w:ind w:firstLine="720"/>
      </w:pPr>
      <w:r>
        <w:t>Patient education is a cornerstone of effective healthcare delivery, significantly impacting patient satisfaction, particularly in outpatient settings. When patients are</w:t>
      </w:r>
      <w:r w:rsidR="00774D21">
        <w:t xml:space="preserve"> </w:t>
      </w:r>
      <w:r>
        <w:t xml:space="preserve">informed about their health </w:t>
      </w:r>
      <w:r w:rsidR="00774D21" w:rsidRPr="00774D21">
        <w:t>ailments and available treatments</w:t>
      </w:r>
      <w:r>
        <w:t>, and care processes, they tend to have more positive experiences. Huang, Lu, and Duan (2014) highlight that information quality management systems in healthcare can bridge significant gaps in the patient care process by improving the clarity, accuracy, and accessibility of medical information provided to patients. This not only enhances patient education but also strengthens the overall quality of care, fostering higher satisfaction rates.</w:t>
      </w:r>
    </w:p>
    <w:p w:rsidR="00FC17A0" w:rsidRDefault="00FC17A0" w:rsidP="000F771F">
      <w:pPr>
        <w:ind w:firstLine="720"/>
      </w:pPr>
      <w:r>
        <w:t xml:space="preserve">In their systematic review of Iranian hospitalized patients, Rasouli and Zarei (2015) posited that if hospitals spend money on educating patients of their conditions and treatment plans, the </w:t>
      </w:r>
      <w:r>
        <w:lastRenderedPageBreak/>
        <w:t xml:space="preserve">perceived quality of service increases. They note that patient knowledge and engagement with their physicians are strongly associated with levels of satisfaction. On the same note, </w:t>
      </w:r>
      <w:proofErr w:type="spellStart"/>
      <w:r>
        <w:t>Altuntas</w:t>
      </w:r>
      <w:proofErr w:type="spellEnd"/>
      <w:r>
        <w:t>, Dereli and Yilmaz (2018) emphasize that one of the ways through which the patient experience can be improved in Turkey’s hospitals is through patient education. Thus, providing patients with the knowledge of their treatments and the recovery processes going on at the hospitals in Istanbul paid a lot of dividends as far as their satisfaction levels were concerned because knowledge promoted trust and therefore cooperation. This empowering education reduces anxiety and confusion that patients experience during their medical visits, which is also an aspect of positive patients’ perception.</w:t>
      </w:r>
    </w:p>
    <w:p w:rsidR="00FC17A0" w:rsidRDefault="00FC17A0" w:rsidP="000F771F">
      <w:pPr>
        <w:ind w:firstLine="720"/>
      </w:pPr>
      <w:r>
        <w:t xml:space="preserve">A study conducted by Pedro, </w:t>
      </w:r>
      <w:proofErr w:type="spellStart"/>
      <w:r>
        <w:t>Maroco</w:t>
      </w:r>
      <w:proofErr w:type="spellEnd"/>
      <w:r>
        <w:t xml:space="preserve">, and Afonso in 2023 very much emphasizes the importance of the professionalism and effective communication that health care staff and particularly nurses use with the patients, with an intention to educate the patient. They opine that when nurses take time to educate the patient on some medical conditions, treatment procedures, and care plans this leads to better patient management/health thus boosting satisfaction levels. However, a strong nexus prevails between nurse communication and patient education, especially in outpatient clinics where patients often spend limited time with healthcare professionals; and </w:t>
      </w:r>
      <w:proofErr w:type="gramStart"/>
      <w:r>
        <w:t>thus</w:t>
      </w:r>
      <w:proofErr w:type="gramEnd"/>
      <w:r>
        <w:t xml:space="preserve"> are required to rely on clear directive on their self-care after the consultation.</w:t>
      </w:r>
    </w:p>
    <w:p w:rsidR="00FC17A0" w:rsidRDefault="00FC17A0" w:rsidP="000F771F">
      <w:pPr>
        <w:ind w:firstLine="720"/>
      </w:pPr>
      <w:r>
        <w:t xml:space="preserve">Furthermore, Siddiqui, </w:t>
      </w:r>
      <w:proofErr w:type="spellStart"/>
      <w:r>
        <w:t>Khafagy</w:t>
      </w:r>
      <w:proofErr w:type="spellEnd"/>
      <w:r>
        <w:t xml:space="preserve">, and Majeed (2023) argue that the approach of continuous improvement is another way to filter and implement changes in the patient education process and make them more engaging for the patient. In their outpatient clinic, they show that patient education and effective communication can be optimized by modifying and updating the educational materials and communication approach in each stage of the process and integrating them into the routine of care. As noted earlier, this approach enhances the level of understanding among patients, a factor that is compounded with the sense of ownership or participation in the delivery of healthcare services, a factor that augurs well with patient satisfaction. Ongoing advancements in education due to the implementation of technology form a feedback environment that see patients being more informed consistently to further enrich their </w:t>
      </w:r>
      <w:proofErr w:type="gramStart"/>
      <w:r>
        <w:t>experiences..</w:t>
      </w:r>
      <w:proofErr w:type="gramEnd"/>
    </w:p>
    <w:p w:rsidR="00FC17A0" w:rsidRDefault="00FC17A0" w:rsidP="00FC17A0">
      <w:pPr>
        <w:pStyle w:val="Heading5"/>
        <w:rPr>
          <w:rFonts w:cs="Times New Roman"/>
        </w:rPr>
      </w:pPr>
      <w:r>
        <w:rPr>
          <w:rFonts w:cs="Times New Roman"/>
        </w:rPr>
        <w:t>2.4.1.2. Digital health tools in patient care</w:t>
      </w:r>
    </w:p>
    <w:p w:rsidR="00FC17A0" w:rsidRDefault="00FC17A0" w:rsidP="000F771F">
      <w:pPr>
        <w:ind w:firstLine="720"/>
      </w:pPr>
      <w:r>
        <w:t xml:space="preserve">Digital health tools are the embodiment of electronic health information technology (HIT) in the delivery of medicine. HIT provides students with various digital solutions that involves use </w:t>
      </w:r>
      <w:r>
        <w:lastRenderedPageBreak/>
        <w:t xml:space="preserve">of electronic and patient records, appointment schedule, scripts, privacy and security of patient information and hospital financial procedures of various entities. Drawing on the aligned conceptual paradigm of the tools’ instrumentality, these comprise capabilities which have capacity to enhance efficiency, access as well as quality of care. Digital health is now a term that is not exclusive to HIT but includes eHealth, mHealth, or healthcare reliant on mobile gadgets, developments in </w:t>
      </w:r>
      <w:proofErr w:type="gramStart"/>
      <w:r>
        <w:t>Big</w:t>
      </w:r>
      <w:proofErr w:type="gramEnd"/>
      <w:r>
        <w:t xml:space="preserve"> data and new technology (Fahy et al., 2021).</w:t>
      </w:r>
    </w:p>
    <w:p w:rsidR="00FC17A0" w:rsidRDefault="00FC17A0" w:rsidP="000F771F">
      <w:pPr>
        <w:ind w:firstLine="720"/>
      </w:pPr>
      <w:r>
        <w:t>Telemedicine technologies have tens of millions of subscribers and have become the new normal in how outpatient care is delivered and received. EHRs, patient portals, telemedicine, and other technologies are more often used to improve patient experiences, integrate care delivery and increase satisfaction. These tools help improve communication, decrease the rate of mistakes, enhance the patient centeredness, therefore providing good healthcare experience.</w:t>
      </w:r>
    </w:p>
    <w:p w:rsidR="00FC17A0" w:rsidRDefault="00FC17A0" w:rsidP="000F771F">
      <w:pPr>
        <w:ind w:firstLine="720"/>
      </w:pPr>
      <w:r>
        <w:t xml:space="preserve">In this respect, Zhang, Yue, and colleagues (2020) stress that digital health technologies can play a crucial role in increasing patient’s health outcomes and satisfaction due to options to increase the levels of care coordination and medical information availability. Many </w:t>
      </w:r>
      <w:proofErr w:type="gramStart"/>
      <w:r>
        <w:t>hospital</w:t>
      </w:r>
      <w:proofErr w:type="gramEnd"/>
      <w:r>
        <w:t xml:space="preserve"> use digital tools to allow easy sharing of patient information among care providers thus resulting in timely and accurate care decisions. Apart from lowering mistakes, this enables the physician to develop approaches that meet a patient’s needs as contained in their file this in turn leads to improved health and confidence in treatments. Another work of Al-</w:t>
      </w:r>
      <w:proofErr w:type="spellStart"/>
      <w:r>
        <w:t>Shorbaji</w:t>
      </w:r>
      <w:proofErr w:type="spellEnd"/>
      <w:r>
        <w:t xml:space="preserve"> et al (2019) support this claim by proving that EHRs especially in the primary care practise tremendously decrease documentation inaccuracies. If patients realize that their care is coordinated with less error-prone, they are more trusting in the healthcare system and therefore more satisfied. The decrease in administrative burdens is also seen as a way to allow healthcare providers to attend to patients due to an enhanced satisfaction </w:t>
      </w:r>
      <w:proofErr w:type="gramStart"/>
      <w:r>
        <w:t>levels</w:t>
      </w:r>
      <w:proofErr w:type="gramEnd"/>
      <w:r>
        <w:t xml:space="preserve"> as well.</w:t>
      </w:r>
    </w:p>
    <w:p w:rsidR="00FC17A0" w:rsidRDefault="00FC17A0" w:rsidP="000F771F">
      <w:pPr>
        <w:ind w:firstLine="720"/>
      </w:pPr>
      <w:r>
        <w:t xml:space="preserve">As noted by Berg (2019), the technical aspects of information technology in the form of EHRs or digital health platforms deliver important advantages in terms of speed and dependability of care. These systems allow doctors to access information about patients’ histories, laboratory tests, and treatments within a short time, which eliminates delays that patients usually experience. Greenhalgh et al. (2020) substantiate these observations, pointing to the machine learning that not only optimizes the functioning of healthcare facilities but also positively impacts patients. </w:t>
      </w:r>
      <w:r>
        <w:lastRenderedPageBreak/>
        <w:t>Increasing the availability of patient data results in better Health IT data integration, thus enhancing the quality of care and increasing patient satisfaction rates.</w:t>
      </w:r>
    </w:p>
    <w:p w:rsidR="00FC17A0" w:rsidRDefault="00FC17A0" w:rsidP="000F771F">
      <w:pPr>
        <w:ind w:firstLine="720"/>
      </w:pPr>
      <w:r>
        <w:t>Patient portals are one more component of digital health tools that have a direct bearing on patient satisfaction. In particular, Kuhn et al. (2021) explain how patient portals benefit patients because it lets them access their records, test results, and treatment plans. The openness that people can have about their own health empowers them to take a more active part in the process. In addition, patient portals also allow patients to ask questions regarding any issue they encounter in their lives, and the provider responds to their questions, enhancing the quality of the care delivered.</w:t>
      </w:r>
    </w:p>
    <w:p w:rsidR="00FC17A0" w:rsidRDefault="00FC17A0" w:rsidP="000F771F">
      <w:pPr>
        <w:ind w:firstLine="720"/>
      </w:pPr>
      <w:r>
        <w:t>The use of telemedicine platforms has also been instrumental in improving patient satisfaction, particularly in outpatient care. Telemedicine gives the patients the convenience of accessing care without having to be physically present at the facility, thus saving time that would otherwise be spent on travel or waiting for an appointment due to chronic illnesses or mobility limitations. Another study by Yoo and Lee (2018) also showed that the use of telemedicine platforms enhances both the quantity and quality of patient interactions during follow-up care and consultations. Telemedicine has been proven to increase patient satisfaction due to the convenience that accompanies receiving healthcare services from their homes particularly for those from rural areas or those who have little or no access to healthcare facilities.</w:t>
      </w:r>
    </w:p>
    <w:p w:rsidR="00FC17A0" w:rsidRDefault="00FC17A0" w:rsidP="000F771F">
      <w:pPr>
        <w:ind w:firstLine="720"/>
      </w:pPr>
      <w:r>
        <w:t xml:space="preserve">Defining the digital health applications is not a simple task. Information about how a specific tool was developed can help assess its advantages and disadvantages, while it can also help healthcare systems decide that is best to solve a specific issue. The approach to the selection of the digital tools suggested by </w:t>
      </w:r>
      <w:proofErr w:type="spellStart"/>
      <w:r>
        <w:t>Marhawa</w:t>
      </w:r>
      <w:proofErr w:type="spellEnd"/>
      <w:r>
        <w:t xml:space="preserve"> et al. (2022) is outlined in figure 2.5.</w:t>
      </w:r>
    </w:p>
    <w:p w:rsidR="00FC17A0" w:rsidRDefault="00FC17A0" w:rsidP="00FC17A0">
      <w:pPr>
        <w:rPr>
          <w:b/>
        </w:rPr>
      </w:pPr>
      <w:r>
        <w:rPr>
          <w:b/>
        </w:rPr>
        <w:t>Figure 2.5: Approaches to digital health tool selection (</w:t>
      </w:r>
      <w:proofErr w:type="spellStart"/>
      <w:r>
        <w:rPr>
          <w:b/>
        </w:rPr>
        <w:t>Marhawa</w:t>
      </w:r>
      <w:proofErr w:type="spellEnd"/>
      <w:r>
        <w:rPr>
          <w:b/>
        </w:rPr>
        <w:t xml:space="preserve"> et al., 2022)</w:t>
      </w:r>
    </w:p>
    <w:p w:rsidR="00FC17A0" w:rsidRDefault="00FC17A0" w:rsidP="00FC17A0">
      <w:r>
        <w:rPr>
          <w:noProof/>
          <w:lang w:val="en-US"/>
        </w:rPr>
        <w:lastRenderedPageBreak/>
        <w:drawing>
          <wp:inline distT="0" distB="0" distL="0" distR="0" wp14:anchorId="78987CCA" wp14:editId="0CF85A48">
            <wp:extent cx="6076950" cy="2447925"/>
            <wp:effectExtent l="76200" t="76200" r="133350" b="142875"/>
            <wp:docPr id="966191298" name="Picture 9" descr="Fi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5" cstate="print"/>
                    <a:srcRect/>
                    <a:stretch/>
                  </pic:blipFill>
                  <pic:spPr>
                    <a:xfrm>
                      <a:off x="0" y="0"/>
                      <a:ext cx="6076950" cy="2447925"/>
                    </a:xfrm>
                    <a:prstGeom prst="rect">
                      <a:avLst/>
                    </a:prstGeom>
                    <a:ln w="38100" cap="sq" cmpd="sng">
                      <a:solidFill>
                        <a:srgbClr val="000000"/>
                      </a:solidFill>
                      <a:prstDash val="solid"/>
                      <a:miter/>
                      <a:headEnd/>
                      <a:tailEnd/>
                    </a:ln>
                    <a:effectLst>
                      <a:outerShdw blurRad="50800" dist="38100" dir="2700000" algn="tl" rotWithShape="0">
                        <a:srgbClr val="000000">
                          <a:alpha val="43000"/>
                        </a:srgbClr>
                      </a:outerShdw>
                    </a:effectLst>
                  </pic:spPr>
                </pic:pic>
              </a:graphicData>
            </a:graphic>
          </wp:inline>
        </w:drawing>
      </w:r>
      <w:r>
        <w:t xml:space="preserve">However, adoption rates for digital health tools have been surprisingly low in several countries. Implementation quality and effectiveness vary widely based on healthcare setting and type of eHealth intervention. Moreover, these tools are complex, costly, poor fit with pre-existing information delivery systems, and require a certain level of skill and competency, as well as positive perception regarding their use from the healthcare professional—these factors serve as impediments for the routine adoption of these tools in healthcare systems (Thapa et al., 2021).   </w:t>
      </w:r>
    </w:p>
    <w:p w:rsidR="00FC17A0" w:rsidRDefault="00FC17A0" w:rsidP="000F771F">
      <w:pPr>
        <w:ind w:firstLine="720"/>
      </w:pPr>
      <w:r>
        <w:t xml:space="preserve">In Saudi Arabia, previous studies on digital health tool usage have shown a high willingness among physicians and other healthcare professionals to adopt tools like telemedicine; however actual adoption rates have been reportedly low. The willingness to adopt these tools has been associated with attitudes, self-efficacy, and level of work experience as a consultant physician (Albarrak et al., 2021; El-Mahalli, El-Khafif &amp; Al-Qahtani, 2019; Thapa et al., 2021). </w:t>
      </w:r>
    </w:p>
    <w:p w:rsidR="00FC17A0" w:rsidRDefault="00FC17A0" w:rsidP="00FC17A0">
      <w:pPr>
        <w:pStyle w:val="Heading5"/>
        <w:rPr>
          <w:rFonts w:cs="Times New Roman"/>
        </w:rPr>
      </w:pPr>
      <w:r>
        <w:rPr>
          <w:rFonts w:cs="Times New Roman"/>
        </w:rPr>
        <w:t>2.4.1.3. Patient satisfaction in terms of convenience, courtesy, and quality of care</w:t>
      </w:r>
    </w:p>
    <w:p w:rsidR="00FC17A0" w:rsidRDefault="00FC17A0" w:rsidP="000F771F">
      <w:pPr>
        <w:ind w:firstLine="720"/>
      </w:pPr>
      <w:r>
        <w:t xml:space="preserve">This element will be valuable in the current healthcare environment where efforts are made towards patient experience improvement. They describe it as </w:t>
      </w:r>
      <w:proofErr w:type="gramStart"/>
      <w:r>
        <w:t>an</w:t>
      </w:r>
      <w:proofErr w:type="gramEnd"/>
      <w:r>
        <w:t xml:space="preserve"> </w:t>
      </w:r>
      <w:r w:rsidR="008354DF">
        <w:t>single</w:t>
      </w:r>
      <w:r>
        <w:t xml:space="preserve"> patient assessment of the various </w:t>
      </w:r>
      <w:r w:rsidR="008354DF">
        <w:t>factor</w:t>
      </w:r>
      <w:r>
        <w:t xml:space="preserve"> of health care delivery; it is also an element of comprehensive or whole-person care and a measure of assessment of services offered by a hospital (Melese et al., 2014). However, patient satisfaction is a relatively recent focus for outcomes and the quality of the treatment (Merkouris et al., 2018). Different ways of assessing patient satisfaction are described in Section 2.2.4.2. of the manuscript.</w:t>
      </w:r>
    </w:p>
    <w:p w:rsidR="00FC17A0" w:rsidRDefault="00FC17A0" w:rsidP="000F771F">
      <w:pPr>
        <w:ind w:firstLine="720"/>
      </w:pPr>
      <w:r>
        <w:lastRenderedPageBreak/>
        <w:t xml:space="preserve">The concept of patient satisfaction in healthcare is complex and particularly depend on aspects like convenience, politeness of the healthcare staff and perceived care quality. These dimensions are especially relevant because outpatient patients may judge their caregiving experience on the basis of access, the behaviour of the caregivers, and the quality of the care they received. Research evidence has also shown that patient satisfaction has correlation with the handling of these factors within </w:t>
      </w:r>
      <w:proofErr w:type="spellStart"/>
      <w:r>
        <w:t>hec</w:t>
      </w:r>
      <w:proofErr w:type="spellEnd"/>
      <w:r>
        <w:t xml:space="preserve"> organisations.</w:t>
      </w:r>
    </w:p>
    <w:p w:rsidR="00FC17A0" w:rsidRDefault="00FC17A0" w:rsidP="000F771F">
      <w:pPr>
        <w:ind w:firstLine="720"/>
      </w:pPr>
      <w:r>
        <w:t xml:space="preserve">In their empirical research study in Istanbul hospitals, </w:t>
      </w:r>
      <w:proofErr w:type="spellStart"/>
      <w:r>
        <w:t>Altuntas</w:t>
      </w:r>
      <w:proofErr w:type="spellEnd"/>
      <w:r>
        <w:t xml:space="preserve">, Dereli, and Yilmaz (2018) get closer to the truth of this saying by finding that the politeness and cautiousness of doctors and nurses also play a massive role in patient satisfaction. When the healthcare providers are polite, understands the severity of the symptoms, and respects the patients, the levels of satisfaction </w:t>
      </w:r>
      <w:proofErr w:type="gramStart"/>
      <w:r>
        <w:t>tends</w:t>
      </w:r>
      <w:proofErr w:type="gramEnd"/>
      <w:r>
        <w:t xml:space="preserve"> to be higher. Interpersonal care is especially important in outpatient care where patients may have fewer interactions with care providers so courtesy may be the only thing they get from the providers. Patients in the study also perceive treatment, which in this context implies communication received from staff, as a social determinant of the quality of care delivery that is as crucial as technical competency in modifying the perceived healthcare </w:t>
      </w:r>
      <w:proofErr w:type="gramStart"/>
      <w:r>
        <w:t>experience..</w:t>
      </w:r>
      <w:proofErr w:type="gramEnd"/>
    </w:p>
    <w:p w:rsidR="00FC17A0" w:rsidRDefault="00FC17A0" w:rsidP="000F771F">
      <w:pPr>
        <w:ind w:firstLine="720"/>
      </w:pPr>
      <w:r>
        <w:t xml:space="preserve">Thakur et al. (2020) extend from this by noting that administrative services contribute to patient satisfaction particularly from a convenience perspective. These comparative findings evidence that patients greatly appreciate fast and efficient administrative management activities such as booking appointments, waiting short times, and being treated quickly. Clinical practicability makes patients avoid long and complicated processes that may even cause them misunderstandings, and this is a major factor to patient’s satisfaction degree. This research came to a conclusion was revealed that whenever the patients feel that the h… is ordered and attending their problems then they are not </w:t>
      </w:r>
      <w:proofErr w:type="gramStart"/>
      <w:r>
        <w:t>get</w:t>
      </w:r>
      <w:proofErr w:type="gramEnd"/>
      <w:r>
        <w:t xml:space="preserve"> frustrated and more over they develop trust on the health institution. Consequently, proper administrative functioning is a significant matter in satisfaction in the outpatient care sector.</w:t>
      </w:r>
    </w:p>
    <w:p w:rsidR="00FC17A0" w:rsidRDefault="00FC17A0" w:rsidP="000F771F">
      <w:pPr>
        <w:ind w:firstLine="720"/>
      </w:pPr>
      <w:r>
        <w:t xml:space="preserve">Furthermore, according to Valente et al. (2022) systematic review of the factors that emerged as the most critical determiners of satisfaction. This review concluded that patients always tended to rate their experience a little higher if the healthcare facility was easily accessible, if appointments were convenient, and if healthcare staff was courteous and responsive. In the same vein, perceived quality of care which includes perceived technical competence of providers; </w:t>
      </w:r>
      <w:r>
        <w:lastRenderedPageBreak/>
        <w:t>perceived accurate diagnosis and treatment also contributed significantly. But the review also points out that even if organisational factors such as these provide the highest quality of care patients do not feel that they are treated with courtesy by staff, making courtesy as effective a factor.</w:t>
      </w:r>
    </w:p>
    <w:p w:rsidR="00FC17A0" w:rsidRDefault="00FC17A0" w:rsidP="000F771F">
      <w:pPr>
        <w:ind w:firstLine="720"/>
      </w:pPr>
      <w:r>
        <w:t xml:space="preserve">In this study, Pedro, </w:t>
      </w:r>
      <w:proofErr w:type="spellStart"/>
      <w:r>
        <w:t>Maroco</w:t>
      </w:r>
      <w:proofErr w:type="spellEnd"/>
      <w:r>
        <w:t xml:space="preserve">, and Afonso (2023) focuses on the role of nurse-patient communication and appreciated it as an essential factor that guarantee high patient satisfaction in outpatient clinic. Due to the nature of work, the staff members especially the nurses interact most with the patients and hence any conflict, misunderstanding or lack of friendly disposition may result inpatient dissatisfaction. Through the present research, it is evidenced that clear and empathetic communication effectively increases comfort, meaning and satisfaction among patients. This is especially the case in the outpatient including facility settings </w:t>
      </w:r>
      <w:proofErr w:type="gramStart"/>
      <w:r>
        <w:t>where</w:t>
      </w:r>
      <w:proofErr w:type="gramEnd"/>
      <w:r>
        <w:t xml:space="preserve"> patients maybe more powerless for shorter and less repeated encounters with health care professionals. According to the finding of the study, it is seen that courteous and effective care along with impressive interpersonal communication and comprehensive attention plays a vital role. patient-</w:t>
      </w:r>
      <w:proofErr w:type="spellStart"/>
      <w:r>
        <w:t>centered</w:t>
      </w:r>
      <w:proofErr w:type="spellEnd"/>
      <w:r>
        <w:t xml:space="preserve"> approach from nursing staff significantly contributes to higher levels of patient satisfaction.</w:t>
      </w:r>
    </w:p>
    <w:p w:rsidR="00FC17A0" w:rsidRDefault="00FC17A0" w:rsidP="000F771F">
      <w:pPr>
        <w:ind w:firstLine="720"/>
      </w:pPr>
      <w:r>
        <w:t xml:space="preserve">Evaluating patient satisfaction </w:t>
      </w:r>
      <w:r w:rsidR="008354DF">
        <w:t>has</w:t>
      </w:r>
      <w:r>
        <w:t xml:space="preserve"> integral part of health services delivery for purposes of </w:t>
      </w:r>
      <w:r w:rsidR="008354DF" w:rsidRPr="008354DF">
        <w:t>assurance of quality</w:t>
      </w:r>
      <w:r w:rsidR="008354DF">
        <w:t xml:space="preserve"> </w:t>
      </w:r>
      <w:r>
        <w:t>and hospital accreditation (</w:t>
      </w:r>
      <w:proofErr w:type="spellStart"/>
      <w:r>
        <w:t>Ambelie</w:t>
      </w:r>
      <w:proofErr w:type="spellEnd"/>
      <w:r>
        <w:t xml:space="preserve"> et a., 2014). Patients are users of healthcare services, and utilizing </w:t>
      </w:r>
      <w:r w:rsidR="008354DF" w:rsidRPr="008354DF">
        <w:t xml:space="preserve">Patient happiness as a measure of care quality </w:t>
      </w:r>
      <w:r>
        <w:t xml:space="preserve">can provide insight into the needs, expectations, and desires of patient-clients (Pini et al., 2014). Factors </w:t>
      </w:r>
      <w:r w:rsidR="008354DF">
        <w:t>linked</w:t>
      </w:r>
      <w:r>
        <w:t xml:space="preserve"> with improved patient satisfaction include improved quality of consultation and examination; provision of information to patient (i.e., patient education); </w:t>
      </w:r>
      <w:r w:rsidR="008354DF">
        <w:t>u</w:t>
      </w:r>
      <w:r w:rsidR="008354DF" w:rsidRPr="008354DF">
        <w:t>sing a phone or internet appointment system can help reduce patient wait times</w:t>
      </w:r>
      <w:r>
        <w:t>; increase in hospital staff space; and better coordination among doctors, nurses, and OPD staff (Hussain et al., 2019). Figure 2.6 represents some of the factors that can directly influence patient satisfaction (Asres et al., 2020).</w:t>
      </w:r>
    </w:p>
    <w:p w:rsidR="001425F7" w:rsidRDefault="001425F7" w:rsidP="000F771F">
      <w:pPr>
        <w:ind w:firstLine="720"/>
      </w:pPr>
    </w:p>
    <w:p w:rsidR="001425F7" w:rsidRDefault="001425F7" w:rsidP="000F771F">
      <w:pPr>
        <w:ind w:firstLine="720"/>
      </w:pPr>
    </w:p>
    <w:p w:rsidR="001425F7" w:rsidRDefault="001425F7" w:rsidP="000F771F">
      <w:pPr>
        <w:ind w:firstLine="720"/>
      </w:pPr>
    </w:p>
    <w:p w:rsidR="001425F7" w:rsidRDefault="001425F7" w:rsidP="000F771F">
      <w:pPr>
        <w:ind w:firstLine="720"/>
      </w:pPr>
    </w:p>
    <w:p w:rsidR="00FC17A0" w:rsidRDefault="00FC17A0" w:rsidP="00FC17A0">
      <w:pPr>
        <w:rPr>
          <w:b/>
        </w:rPr>
      </w:pPr>
      <w:r>
        <w:rPr>
          <w:b/>
        </w:rPr>
        <w:lastRenderedPageBreak/>
        <w:t>Figure 2.6: Factors influencing patient satisfaction.</w:t>
      </w:r>
    </w:p>
    <w:p w:rsidR="00FC17A0" w:rsidRDefault="00FC17A0" w:rsidP="00FC17A0">
      <w:pPr>
        <w:rPr>
          <w:b/>
        </w:rPr>
      </w:pPr>
    </w:p>
    <w:p w:rsidR="00FC17A0" w:rsidRDefault="00FC17A0" w:rsidP="00FC17A0">
      <w:pPr>
        <w:rPr>
          <w:b/>
        </w:rPr>
      </w:pPr>
    </w:p>
    <w:p w:rsidR="00FC17A0" w:rsidRDefault="00FC17A0" w:rsidP="00FC17A0">
      <w:pPr>
        <w:rPr>
          <w:b/>
        </w:rPr>
      </w:pPr>
      <w:r>
        <w:rPr>
          <w:noProof/>
          <w:lang w:val="en-US"/>
        </w:rPr>
        <w:drawing>
          <wp:anchor distT="0" distB="0" distL="0" distR="0" simplePos="0" relativeHeight="251659264" behindDoc="1" locked="0" layoutInCell="1" allowOverlap="1" wp14:anchorId="2EAC2A3D" wp14:editId="1DDD34D6">
            <wp:simplePos x="0" y="0"/>
            <wp:positionH relativeFrom="column">
              <wp:posOffset>-842452</wp:posOffset>
            </wp:positionH>
            <wp:positionV relativeFrom="paragraph">
              <wp:posOffset>-117447</wp:posOffset>
            </wp:positionV>
            <wp:extent cx="6496050" cy="4914900"/>
            <wp:effectExtent l="0" t="38100" r="0" b="76200"/>
            <wp:wrapNone/>
            <wp:docPr id="255484981"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p>
    <w:p w:rsidR="00FC17A0" w:rsidRDefault="00FC17A0" w:rsidP="00FC17A0">
      <w:pPr>
        <w:rPr>
          <w:b/>
        </w:rPr>
      </w:pPr>
    </w:p>
    <w:p w:rsidR="00FC17A0" w:rsidRDefault="00FC17A0" w:rsidP="00FC17A0">
      <w:pPr>
        <w:rPr>
          <w:b/>
        </w:rPr>
      </w:pPr>
    </w:p>
    <w:p w:rsidR="00FC17A0" w:rsidRDefault="00FC17A0" w:rsidP="00FC17A0">
      <w:pPr>
        <w:rPr>
          <w:b/>
        </w:rPr>
      </w:pPr>
    </w:p>
    <w:p w:rsidR="00FC17A0" w:rsidRDefault="00FC17A0" w:rsidP="00FC17A0">
      <w:pPr>
        <w:rPr>
          <w:b/>
        </w:rPr>
      </w:pPr>
    </w:p>
    <w:p w:rsidR="00FC17A0" w:rsidRDefault="00FC17A0" w:rsidP="00FC17A0">
      <w:pPr>
        <w:rPr>
          <w:b/>
        </w:rPr>
      </w:pPr>
    </w:p>
    <w:p w:rsidR="00FC17A0" w:rsidRDefault="00FC17A0" w:rsidP="00FC17A0">
      <w:pPr>
        <w:rPr>
          <w:b/>
        </w:rPr>
      </w:pPr>
    </w:p>
    <w:p w:rsidR="00FC17A0" w:rsidRDefault="00FC17A0" w:rsidP="00FC17A0"/>
    <w:p w:rsidR="00FC17A0" w:rsidRDefault="00FC17A0" w:rsidP="00FC17A0"/>
    <w:p w:rsidR="00FC17A0" w:rsidRDefault="00FC17A0" w:rsidP="00FC17A0"/>
    <w:p w:rsidR="00FC17A0" w:rsidRDefault="00FC17A0" w:rsidP="00FC17A0"/>
    <w:p w:rsidR="00FC17A0" w:rsidRDefault="00FC17A0" w:rsidP="00FC17A0"/>
    <w:p w:rsidR="00FC17A0" w:rsidRDefault="00FC17A0" w:rsidP="00FC17A0"/>
    <w:p w:rsidR="00FC17A0" w:rsidRDefault="00FC17A0" w:rsidP="00FC17A0">
      <w:r>
        <w:t xml:space="preserve"> </w:t>
      </w:r>
    </w:p>
    <w:p w:rsidR="00FC17A0" w:rsidRDefault="00FC17A0" w:rsidP="00FC17A0">
      <w:pPr>
        <w:pStyle w:val="Heading4"/>
      </w:pPr>
      <w:r>
        <w:t xml:space="preserve">2.4.2. Independent Variables and their Measurement </w:t>
      </w:r>
    </w:p>
    <w:p w:rsidR="00FC17A0" w:rsidRDefault="00FC17A0" w:rsidP="00FC17A0">
      <w:pPr>
        <w:pStyle w:val="Heading5"/>
      </w:pPr>
      <w:r>
        <w:t>2.4.2.1. Patient’s experiences of OPD services and facilities</w:t>
      </w:r>
    </w:p>
    <w:p w:rsidR="00FC17A0" w:rsidRDefault="00FC17A0" w:rsidP="00304443">
      <w:pPr>
        <w:ind w:firstLine="720"/>
      </w:pPr>
      <w:r>
        <w:t>Patient’s experience and encounter several services and facilities in the outpatient department. These include patient registration services, physicians and nursing services, pharmacy services, and physical facilities. Patients can have variable experience and satisfaction with these services, and it is important to measure this as it can directly affect satisfaction scores and indices of patient-</w:t>
      </w:r>
      <w:proofErr w:type="spellStart"/>
      <w:r>
        <w:t>centered</w:t>
      </w:r>
      <w:proofErr w:type="spellEnd"/>
      <w:r>
        <w:t xml:space="preserve"> care. </w:t>
      </w:r>
    </w:p>
    <w:p w:rsidR="00FC17A0" w:rsidRDefault="00FC17A0" w:rsidP="00304443">
      <w:pPr>
        <w:ind w:firstLine="720"/>
      </w:pPr>
      <w:r>
        <w:lastRenderedPageBreak/>
        <w:t xml:space="preserve">In a study in an Indian outpatient facility (Mohd &amp; Chakravarty, 2014), location and accessibility of the outpatient department, availability of parking and cafeteria services, queue and registration system, waiting area facilities and waiting time, availability and skills of doctors and consultation room environment, and nursing and dispensary services were all found to be significant factors associated with variable levels of patient satisfaction. Domains of communication, technical skills and knowledge, relational conduct, personal qualities, and availability and accessibility were also found to be independent predictors of satisfaction with the patient-physician interaction (Senitan, </w:t>
      </w:r>
      <w:proofErr w:type="spellStart"/>
      <w:r>
        <w:t>Alhaiti</w:t>
      </w:r>
      <w:proofErr w:type="spellEnd"/>
      <w:r>
        <w:t xml:space="preserve"> &amp; Gillespie, 2018).  </w:t>
      </w:r>
    </w:p>
    <w:p w:rsidR="00FC17A0" w:rsidRDefault="00FC17A0" w:rsidP="00304443">
      <w:pPr>
        <w:ind w:firstLine="720"/>
      </w:pPr>
      <w:r>
        <w:t>The overall patient experience in outpatient departments (OPDs) is significantly influenced by the quality of services provided and the state of the facilities. A well-I propose that a well-structured and client-oriented approach influences not only the minimization of stress caused by medical visits but also the patients’ overall perception of healthcare. Wu and Lin investigated the physical and operational characteristics of OPD services to reveal their influence on patient satisfaction.</w:t>
      </w:r>
    </w:p>
    <w:p w:rsidR="00FC17A0" w:rsidRDefault="00FC17A0" w:rsidP="00304443">
      <w:pPr>
        <w:ind w:firstLine="720"/>
      </w:pPr>
      <w:r>
        <w:t xml:space="preserve">According to </w:t>
      </w:r>
      <w:proofErr w:type="spellStart"/>
      <w:r>
        <w:t>Altuntas</w:t>
      </w:r>
      <w:proofErr w:type="spellEnd"/>
      <w:r>
        <w:t>, Dereli, and Yilmaz (2018), it is imperative to note that facilities with improved tidiness and effective services can enhance patient satisfaction in the hospitals of Istanbul. They further argue that the situation where OPD is clean, comfortable, and properly equipped enhances the patient’s perception of their healthcare experience. Beyond the physical surroundings, the various services offered, for instance the layout of the OPD are also key sources of satisfaction. For example, signs and direction, patient circulation, and service availability are characteristics that enhance patient experience. Positive outcomes can be achieved when these aspects are well managed and this will reduce frustration levels and anxiety felt by the patients hence improving their satisfaction levels.</w:t>
      </w:r>
    </w:p>
    <w:p w:rsidR="00FC17A0" w:rsidRDefault="00FC17A0" w:rsidP="00304443">
      <w:pPr>
        <w:ind w:firstLine="720"/>
      </w:pPr>
      <w:r>
        <w:t xml:space="preserve">Rasouli and Zarei (2015) discuss similar themes regarding Iranian hospitals; they found that improving infrastructure and services in OPDs would substantially enhance the patient experience. Regarding the physical attributes, the authors identify that softer attributes like comfortable waiting areas, up-to-date medical equipment, and easy access to facilities and services such as laboratories and pharmacy within the OPD are valued by patients. The study also revealed that hospitals that focus on improving the physical OPD facilities and the range of services they offer to the patient gain higher acclaim certifications from the patient. Lack of proper facilities or </w:t>
      </w:r>
      <w:r>
        <w:lastRenderedPageBreak/>
        <w:t>fewer services on the other hand may result to dissatisfaction even though the medical care that was offered was excellent.</w:t>
      </w:r>
    </w:p>
    <w:p w:rsidR="00FC17A0" w:rsidRDefault="00FC17A0" w:rsidP="00304443">
      <w:pPr>
        <w:ind w:firstLine="720"/>
      </w:pPr>
      <w:r>
        <w:t>Other factors such as the speed in clearing the patient through various administrative procedures also help to determine the kind of experience that the patient will have in the OPDs. According to Marais &amp; Noble (2021), developments in OPD registration and sign-in processes can influence patients’ experiences during the visit in a definitive and significant manner. Long registration durations or intricate processes ordinarily lead to patient frustration and negative perceptions, no matter the care they receive. The study also notes that when these processes are streamlined—by the use of technology, properly worded directions, and staff—patients find themselves more content with their experience. Optimal administrative procedures not only result in decreased time to consult or see a doctor or other medical practitioner but also enhance the perceived image of competence, another avenue to patient satisfaction.</w:t>
      </w:r>
    </w:p>
    <w:p w:rsidR="00FC17A0" w:rsidRDefault="00FC17A0" w:rsidP="00304443">
      <w:pPr>
        <w:ind w:firstLine="720"/>
      </w:pPr>
      <w:r>
        <w:t xml:space="preserve">Siddiqui, </w:t>
      </w:r>
      <w:proofErr w:type="spellStart"/>
      <w:r>
        <w:t>Khafagy</w:t>
      </w:r>
      <w:proofErr w:type="spellEnd"/>
      <w:r>
        <w:t xml:space="preserve">, and Majeed (2023) expanded upon this notion by studying how the outpatient clinic CI can positively impact service and patient. By their studies they ascertain </w:t>
      </w:r>
      <w:proofErr w:type="gramStart"/>
      <w:r>
        <w:t>that periodic evaluations</w:t>
      </w:r>
      <w:proofErr w:type="gramEnd"/>
      <w:r>
        <w:t xml:space="preserve"> with appropriate action to address concerns often identified pertaining to a facility and or service yields improved levels of patient satisfaction. Some of the ongoing and proposed modifications from the OPD include-service enhancement in terms of physical layout, classification, and even enhancement of workforce productivity through elimination of service bottlenecks. For instance, OPD feedback where patients can give feedback on their experience provides insight for instance to the management of the hospital can point out issues such as poor waiting area cleanness or excessively long waiting periods. Such changes are not only likely to help patients resolve pressing problems but also contribute to a seemingly long-term approach to enhancing patients’ </w:t>
      </w:r>
      <w:proofErr w:type="gramStart"/>
      <w:r>
        <w:t>satisfaction..</w:t>
      </w:r>
      <w:proofErr w:type="gramEnd"/>
    </w:p>
    <w:p w:rsidR="00FC17A0" w:rsidRDefault="00FC17A0" w:rsidP="00FC17A0">
      <w:pPr>
        <w:pStyle w:val="Heading5"/>
      </w:pPr>
      <w:r>
        <w:t>2.4.2.2. Accessibility of services</w:t>
      </w:r>
    </w:p>
    <w:p w:rsidR="00FC17A0" w:rsidRDefault="00FC17A0" w:rsidP="00304443">
      <w:pPr>
        <w:ind w:firstLine="720"/>
      </w:pPr>
      <w:r>
        <w:t xml:space="preserve">Accessible services make it easier for patients and their attendants to approach the hospital or department for healthcare services. In the OPD setting, easy accessibility and good signage provides a good initial image for the patients (Sharma, 1970). Hospital design, with respects to accessibility and parking services, can influence patient satisfaction scores, as shown by Mohd &amp; Chakravarty (2014). </w:t>
      </w:r>
    </w:p>
    <w:p w:rsidR="00FC17A0" w:rsidRDefault="00FC17A0" w:rsidP="00304443">
      <w:pPr>
        <w:ind w:firstLine="720"/>
      </w:pPr>
      <w:r>
        <w:lastRenderedPageBreak/>
        <w:t>Ease of registration with hospital services is especially important for first-time visitors to the OPD, who constitute the majority of patients and have little or no idea about availing healthcare services. Information provided by the staff at registration desks, as well as a well-managed queue system and good staff behaviour are predictors of patient satisfaction as well (Pawar &amp; Mukherji, 2011; Mohd &amp; Chakravarty, 2014).</w:t>
      </w:r>
    </w:p>
    <w:p w:rsidR="00FC17A0" w:rsidRDefault="00FC17A0" w:rsidP="00304443">
      <w:pPr>
        <w:ind w:firstLine="720"/>
      </w:pPr>
      <w:r>
        <w:t xml:space="preserve">Access to pharmacy services and facilities is also linked with patient satisfaction. In a study conducted on patients attending outpatient pharmacies, lower patient satisfaction was found to be linked with poor staff counselling, age and chronic nature of illness of the patients, and type of healthcare facility as a primary care </w:t>
      </w:r>
      <w:proofErr w:type="spellStart"/>
      <w:r>
        <w:t>center</w:t>
      </w:r>
      <w:proofErr w:type="spellEnd"/>
      <w:r>
        <w:t xml:space="preserve"> (Alotaibi et al., 2021). </w:t>
      </w:r>
    </w:p>
    <w:p w:rsidR="00FC17A0" w:rsidRDefault="00FC17A0" w:rsidP="00304443">
      <w:pPr>
        <w:ind w:firstLine="720"/>
      </w:pPr>
      <w:r>
        <w:t>The accessibility of healthcare services is a critical determinant of patient satisfaction, particularly in outpatient settings where ease of access to medical care is essential for a positive patient experience. Accessibility encompasses various factors, such as timely appointment scheduling, convenient clinic locations, and reduced wait times, all of which play a key role in shaping patient perceptions of healthcare efficiency and responsiveness.</w:t>
      </w:r>
    </w:p>
    <w:p w:rsidR="00FC17A0" w:rsidRDefault="00FC17A0" w:rsidP="00304443">
      <w:pPr>
        <w:ind w:firstLine="720"/>
      </w:pPr>
      <w:r>
        <w:t xml:space="preserve">In their study, Valente et al. (2022) highlight the significant correlation between care accessibility and patient satisfaction. According to their systematic review, they found that the accessibility of appointments and clinics enable patients to have a higher satisfaction with the system. One of the research findings is that high appointment waiting time or </w:t>
      </w:r>
      <w:proofErr w:type="gramStart"/>
      <w:r>
        <w:t>long distance</w:t>
      </w:r>
      <w:proofErr w:type="gramEnd"/>
      <w:r>
        <w:t xml:space="preserve"> travel to access healthcare services can frustrate and make the patient dissatisfied even if the quality of medical services received is satisfactory. Indeed, making outpatient clinics more accessible will enhance patient satisfaction through such approaches as locating healthcare facilities appropriately and making appointments more manageable. Next to clinic accessibility, or rather, the relative positioning of clinics, the availability of appointments is another factor that has an effect on patient contentment.</w:t>
      </w:r>
    </w:p>
    <w:p w:rsidR="00FC17A0" w:rsidRDefault="00FC17A0" w:rsidP="00304443">
      <w:pPr>
        <w:ind w:firstLine="720"/>
      </w:pPr>
      <w:r>
        <w:t xml:space="preserve">Jha et al. (2018) also emphasize the need to increase healthcare schedule systems to ensure access. They claim that when scheduling systems are made efficient, they enable the patients to spend less time waiting and are able to access quality health care services in the shortest time possible and this enhances patient satisfaction. The results of the study reveal that getting appointments and waiting at the clinic is another grievance cited by most patients. Optimizing scheduling systems benefits not only the functioning of healthcare facilities, but it also contributes </w:t>
      </w:r>
      <w:r>
        <w:lastRenderedPageBreak/>
        <w:t xml:space="preserve">to a positive patient experience as patients can get the necessary appointments. Additionally, by offering fewer time constraints and more opportunities for appointments, the healthcare providers have a chance to prove that they care about their patients’ needs, which increases their </w:t>
      </w:r>
      <w:proofErr w:type="gramStart"/>
      <w:r>
        <w:t>trust..</w:t>
      </w:r>
      <w:proofErr w:type="gramEnd"/>
    </w:p>
    <w:p w:rsidR="00FC17A0" w:rsidRDefault="00FC17A0" w:rsidP="00304443">
      <w:pPr>
        <w:ind w:firstLine="720"/>
      </w:pPr>
      <w:r>
        <w:t>Kara et al. (2021) also discuss the importance of flexible clinic schedules in enhancing the patients’ satisfaction levels, especially in out-patient department. They also assert that increased operational efficiency in the matter of scheduling contributes to improved organizational flow of patients through clinics, as well as timely patient attendance with low levels of wait time. Using data in staffing and scheduling and synchronizing clinic operating time with the time when patient traffic is likely to be high would benefit healthcare facilities through reducing congestion in waiting rooms and improving patient satisfaction. According to the study, patients have higher satisfaction levels if there are minimal interruptions in their care like reduced waiting time and regularly scheduled appointments.</w:t>
      </w:r>
    </w:p>
    <w:p w:rsidR="00FC17A0" w:rsidRDefault="00FC17A0" w:rsidP="00304443">
      <w:pPr>
        <w:ind w:firstLine="720"/>
      </w:pPr>
      <w:r>
        <w:t>Al-</w:t>
      </w:r>
      <w:proofErr w:type="spellStart"/>
      <w:r>
        <w:t>Refaie</w:t>
      </w:r>
      <w:proofErr w:type="spellEnd"/>
      <w:r>
        <w:t xml:space="preserve"> et al., 2022 supplement the access perspective with ideas beyond physical access and appointments, noting that better communication between care providers and patients is also instrumental in shaping positive views of access. According to their study, clear and effective communication helps the patients understand the available services to them and care processes that they are likely to encounter. Such openness assists patients in managing the complex health care delivery system, thus easing their worries and increasing their satisfaction. In outpatient care specifically, where the interaction among patients and providers is less frequent, corresponding station communication including logistics of the appointments, management plan, and continuity in care for the sick individuals must be well addressed to enhance their perceived connectedness to the healthcare system. Al-</w:t>
      </w:r>
      <w:proofErr w:type="spellStart"/>
      <w:r>
        <w:t>Refaie</w:t>
      </w:r>
      <w:proofErr w:type="spellEnd"/>
      <w:r>
        <w:t xml:space="preserve"> et al. establish that gaps in perceived accessibility can be mitigated by effective and efficient provider-patient communication, which in turn improves patient experience and </w:t>
      </w:r>
      <w:proofErr w:type="gramStart"/>
      <w:r>
        <w:t>satisfaction..</w:t>
      </w:r>
      <w:proofErr w:type="gramEnd"/>
    </w:p>
    <w:p w:rsidR="00FC17A0" w:rsidRDefault="00FC17A0" w:rsidP="00FC17A0">
      <w:pPr>
        <w:pStyle w:val="Heading5"/>
      </w:pPr>
      <w:r>
        <w:t>2.4.2.3. Waiting times</w:t>
      </w:r>
    </w:p>
    <w:p w:rsidR="00FC17A0" w:rsidRDefault="00FC17A0" w:rsidP="00304443">
      <w:pPr>
        <w:ind w:firstLine="720"/>
      </w:pPr>
      <w:r>
        <w:t xml:space="preserve">Waiting time represents the total time spent by the patient in the healthcare facility from arrival at the registration desk till leaving after provision of the last service. High waiting times in outpatient facilities have become a norm due to long lists of patients, but do not bode well with patient satisfaction scores (Appiah, 2019). In competitive settings with the patients as consumers, </w:t>
      </w:r>
      <w:r>
        <w:lastRenderedPageBreak/>
        <w:t>this high waiting time can adversely affect the hospital’s ability to attract new patients (Biya et al., 2022).</w:t>
      </w:r>
    </w:p>
    <w:p w:rsidR="00FC17A0" w:rsidRPr="00DE2FCE" w:rsidRDefault="00FC17A0" w:rsidP="00304443">
      <w:pPr>
        <w:ind w:firstLine="720"/>
        <w:rPr>
          <w:rFonts w:cs="Times New Roman"/>
          <w:shd w:val="clear" w:color="auto" w:fill="FFFFFF"/>
        </w:rPr>
      </w:pPr>
      <w:r>
        <w:rPr>
          <w:rFonts w:cs="Times New Roman"/>
        </w:rPr>
        <w:t xml:space="preserve">In a study conducted in Saudi </w:t>
      </w:r>
      <w:r w:rsidRPr="00DE2FCE">
        <w:rPr>
          <w:rFonts w:cs="Times New Roman"/>
        </w:rPr>
        <w:t xml:space="preserve">Arabia, the average waiting time was found to be almost 30 minutes, and mainly patients were dissatisfied with the wait times for </w:t>
      </w:r>
      <w:r w:rsidRPr="00DE2FCE">
        <w:rPr>
          <w:rFonts w:cs="Times New Roman"/>
          <w:shd w:val="clear" w:color="auto" w:fill="FFFFFF"/>
        </w:rPr>
        <w:t xml:space="preserve">medication </w:t>
      </w:r>
      <w:r w:rsidR="001425F7" w:rsidRPr="001425F7">
        <w:rPr>
          <w:rFonts w:cs="Times New Roman"/>
          <w:shd w:val="clear" w:color="auto" w:fill="FFFFFF"/>
        </w:rPr>
        <w:t>dispensing, taking vital signs, seeing a dentist, and doing radiological tests</w:t>
      </w:r>
      <w:r w:rsidRPr="00DE2FCE">
        <w:rPr>
          <w:rFonts w:cs="Times New Roman"/>
          <w:shd w:val="clear" w:color="auto" w:fill="FFFFFF"/>
        </w:rPr>
        <w:t xml:space="preserve"> (</w:t>
      </w:r>
      <w:proofErr w:type="spellStart"/>
      <w:r w:rsidRPr="00DE2FCE">
        <w:rPr>
          <w:rFonts w:cs="Times New Roman"/>
          <w:shd w:val="clear" w:color="auto" w:fill="FFFFFF"/>
        </w:rPr>
        <w:t>Alrasheedi</w:t>
      </w:r>
      <w:proofErr w:type="spellEnd"/>
      <w:r w:rsidRPr="00DE2FCE">
        <w:rPr>
          <w:rFonts w:cs="Times New Roman"/>
          <w:shd w:val="clear" w:color="auto" w:fill="FFFFFF"/>
        </w:rPr>
        <w:t xml:space="preserve"> et al., 2019). Decreased waiting time has been linked with increased patient satisfaction (Hussain et al., 2019); waiting time itself is influenced by distance from hospital, time of the week, and time of the day during which the patient arrived at the OPD facility (Biya et al., 2022). </w:t>
      </w:r>
      <w:r w:rsidRPr="00DE2FCE">
        <w:rPr>
          <w:shd w:val="clear" w:color="auto" w:fill="FFFFFF"/>
        </w:rPr>
        <w:t xml:space="preserve">Long waiting times in outpatient settings are consistently identified as one of the major factors contributing to patient dissatisfaction. Patients often associate prolonged waits with inefficiency and poor management, which can negatively affect their overall perception of care, even if the </w:t>
      </w:r>
      <w:proofErr w:type="spellStart"/>
      <w:proofErr w:type="gramStart"/>
      <w:r w:rsidRPr="00DE2FCE">
        <w:rPr>
          <w:shd w:val="clear" w:color="auto" w:fill="FFFFFF"/>
        </w:rPr>
        <w:t>The</w:t>
      </w:r>
      <w:proofErr w:type="spellEnd"/>
      <w:proofErr w:type="gramEnd"/>
      <w:r w:rsidRPr="00DE2FCE">
        <w:rPr>
          <w:shd w:val="clear" w:color="auto" w:fill="FFFFFF"/>
        </w:rPr>
        <w:t xml:space="preserve"> quality of the medical treatment is high. Therefore, shortening patient waiting time has emerged as key interventions that healthcare organizations seek to implement to enhance patient satisfaction.</w:t>
      </w:r>
    </w:p>
    <w:p w:rsidR="00FC17A0" w:rsidRPr="00DE2FCE" w:rsidRDefault="00FC17A0" w:rsidP="00304443">
      <w:pPr>
        <w:ind w:firstLine="720"/>
        <w:rPr>
          <w:rFonts w:cs="Times New Roman"/>
          <w:shd w:val="clear" w:color="auto" w:fill="FFFFFF"/>
        </w:rPr>
      </w:pPr>
      <w:r w:rsidRPr="00DE2FCE">
        <w:rPr>
          <w:rFonts w:cs="Times New Roman"/>
          <w:shd w:val="clear" w:color="auto" w:fill="FFFFFF"/>
        </w:rPr>
        <w:t xml:space="preserve">Jha et al. (2018) stress that strategies developed for healthcare scheduling systems are paramount in the mitigation of waiting time. They opine that it is possible to enhance the design and functionality of these systems so that health care organizations can be certain that patients will be attended to quickly and thereby be satisfied. This study notes that long time waits are more a function of booking and clinic management than they are of clinic needs and volume. To creating adequate work schedules that can be effectively implemented to enhance healthcare delivery, clinics can adopt flexible approaches like offering patients same day appointments or using predictive </w:t>
      </w:r>
      <w:proofErr w:type="spellStart"/>
      <w:r w:rsidRPr="00DE2FCE">
        <w:rPr>
          <w:rFonts w:cs="Times New Roman"/>
          <w:shd w:val="clear" w:color="auto" w:fill="FFFFFF"/>
        </w:rPr>
        <w:t>modeling</w:t>
      </w:r>
      <w:proofErr w:type="spellEnd"/>
      <w:r w:rsidRPr="00DE2FCE">
        <w:rPr>
          <w:rFonts w:cs="Times New Roman"/>
          <w:shd w:val="clear" w:color="auto" w:fill="FFFFFF"/>
        </w:rPr>
        <w:t xml:space="preserve"> for patient flow. Non-urgent waits have been identified as improving patient satisfaction because patients feel that longer waits are indicative of inefficiency and poor professionalism; thus, it would imply that decreasing wait times will positively influence patient satisfaction.</w:t>
      </w:r>
    </w:p>
    <w:p w:rsidR="00FC17A0" w:rsidRPr="00DE2FCE" w:rsidRDefault="00FC17A0" w:rsidP="00304443">
      <w:pPr>
        <w:ind w:firstLine="720"/>
        <w:rPr>
          <w:rFonts w:cs="Times New Roman"/>
          <w:shd w:val="clear" w:color="auto" w:fill="FFFFFF"/>
        </w:rPr>
      </w:pPr>
      <w:r w:rsidRPr="00DE2FCE">
        <w:rPr>
          <w:rFonts w:cs="Times New Roman"/>
          <w:shd w:val="clear" w:color="auto" w:fill="FFFFFF"/>
        </w:rPr>
        <w:t xml:space="preserve">They extend this by showing that outpatient clinic scheduling can be enhanced to improve operational hours and waiting time. From their studies, they establish that when clinics adopt appropriate scheduling systems, waiting time is noticeably cut. This includes changing the staff work schedules to match the high patient traffic and scheduling patients in a way that does not overcrowd the facility. Furthermore, the findings suggest the need for clinics to embrace methods that enable them to keep track of the rate of patient turnover in those facilities and counteract poor </w:t>
      </w:r>
      <w:r w:rsidRPr="00DE2FCE">
        <w:rPr>
          <w:rFonts w:cs="Times New Roman"/>
          <w:shd w:val="clear" w:color="auto" w:fill="FFFFFF"/>
        </w:rPr>
        <w:lastRenderedPageBreak/>
        <w:t xml:space="preserve">traffic flows. When operations are efficient, clinics guarantee that their patients do not wait long to be attended to, and the times that patients spend waiting are very important. In their study, Kara et al. argue that the efficiency of outpatient departments is essential in cutting waiting time and improving patient satisfaction through right </w:t>
      </w:r>
      <w:proofErr w:type="gramStart"/>
      <w:r w:rsidRPr="00DE2FCE">
        <w:rPr>
          <w:rFonts w:cs="Times New Roman"/>
          <w:shd w:val="clear" w:color="auto" w:fill="FFFFFF"/>
        </w:rPr>
        <w:t>scheduling..</w:t>
      </w:r>
      <w:proofErr w:type="gramEnd"/>
    </w:p>
    <w:p w:rsidR="00FC17A0" w:rsidRPr="00DE2FCE" w:rsidRDefault="00FC17A0" w:rsidP="00304443">
      <w:pPr>
        <w:ind w:firstLine="720"/>
      </w:pPr>
      <w:r w:rsidRPr="00DE2FCE">
        <w:rPr>
          <w:rFonts w:cs="Times New Roman"/>
          <w:shd w:val="clear" w:color="auto" w:fill="FFFFFF"/>
        </w:rPr>
        <w:t xml:space="preserve">Thakur et al. (2020) are more concerned with the aspect of administrative services regarding awaiting time concerning appointments and how efficiently health human resources could be managed. They suggest that waiting times result from not only clinical delays but also poor management of appointments, overbooking, or inefficient registration of patients. Through enhancing such managerial processes, it is easy for the healthcare facilities to reduce the waiting times considerably. Despite acknowledging that there are measures that could enhance patient flow, the study points out that improving on appointment scheduling, staff training, and application of technology in administrative work could be of great assistance. For instance, implementation of check-in through the automated kiosks, use of reminder services, and constant updates on the availability of the doctor to the patient can go </w:t>
      </w:r>
      <w:proofErr w:type="spellStart"/>
      <w:r w:rsidRPr="00DE2FCE">
        <w:rPr>
          <w:rFonts w:cs="Times New Roman"/>
          <w:shd w:val="clear" w:color="auto" w:fill="FFFFFF"/>
        </w:rPr>
        <w:t>along</w:t>
      </w:r>
      <w:proofErr w:type="spellEnd"/>
      <w:r w:rsidRPr="00DE2FCE">
        <w:rPr>
          <w:rFonts w:cs="Times New Roman"/>
          <w:shd w:val="clear" w:color="auto" w:fill="FFFFFF"/>
        </w:rPr>
        <w:t xml:space="preserve"> way in removing barriers in patient flow and informing the patient on waiting time in order to enhance their experience. According to Thakur et al. (2020), when there is an increased measuring of administrative producing effectiveness, patients experience temporal utility, which results in better outpatient satisfaction.</w:t>
      </w:r>
    </w:p>
    <w:p w:rsidR="00FC17A0" w:rsidRPr="00DE2FCE" w:rsidRDefault="00FC17A0" w:rsidP="00FC17A0">
      <w:r w:rsidRPr="00DE2FCE">
        <w:rPr>
          <w:rFonts w:cs="Times New Roman"/>
          <w:shd w:val="clear" w:color="auto" w:fill="FFFFFF"/>
        </w:rPr>
        <w:t>2.4.3. Dependent and independent variables</w:t>
      </w:r>
    </w:p>
    <w:p w:rsidR="00FC17A0" w:rsidRPr="00DE2FCE" w:rsidRDefault="00FC17A0" w:rsidP="00304443">
      <w:pPr>
        <w:ind w:firstLine="720"/>
      </w:pPr>
      <w:r w:rsidRPr="00DE2FCE">
        <w:rPr>
          <w:rFonts w:cs="Times New Roman"/>
          <w:shd w:val="clear" w:color="auto" w:fill="FFFFFF"/>
        </w:rPr>
        <w:t>Moreover, the independent variable has a direct causal influence on the dependent variables as well as an indirect influence through technology efficiency</w:t>
      </w:r>
      <w:r w:rsidRPr="00DE2FCE">
        <w:t xml:space="preserve">. </w:t>
      </w:r>
    </w:p>
    <w:p w:rsidR="00FC17A0" w:rsidRDefault="00FC17A0" w:rsidP="00304443">
      <w:pPr>
        <w:ind w:firstLine="720"/>
      </w:pPr>
      <w:r>
        <w:t xml:space="preserve">Patient’s experiences in the OPD facility, their accessibility for healthcare services, and waiting times all have a direct effect on determining patient satisfaction. Moreover, these variables have a complex relationship with patient education as well as acceptance and use of digital health tools, which influence patient satisfaction as well, as shown by Hussain et al. (2019), </w:t>
      </w:r>
      <w:proofErr w:type="spellStart"/>
      <w:r>
        <w:t>Alrasheedi</w:t>
      </w:r>
      <w:proofErr w:type="spellEnd"/>
      <w:r>
        <w:t xml:space="preserve"> et al. (2019), and Mohd &amp; Chakravarty (2014).</w:t>
      </w:r>
    </w:p>
    <w:p w:rsidR="00FC17A0" w:rsidRDefault="00FC17A0" w:rsidP="00FC17A0">
      <w:pPr>
        <w:pStyle w:val="Heading4"/>
      </w:pPr>
      <w:r>
        <w:t>2.4.4. Moderating Variables</w:t>
      </w:r>
    </w:p>
    <w:p w:rsidR="00FC17A0" w:rsidRDefault="00FC17A0" w:rsidP="00FC17A0">
      <w:pPr>
        <w:pStyle w:val="Heading5"/>
      </w:pPr>
      <w:r>
        <w:t>2.4.4.1. Health Information Technology Efficiency</w:t>
      </w:r>
    </w:p>
    <w:p w:rsidR="00FC17A0" w:rsidRDefault="00FC17A0" w:rsidP="00304443">
      <w:pPr>
        <w:ind w:firstLine="720"/>
        <w:rPr>
          <w:rFonts w:cs="Times New Roman"/>
        </w:rPr>
      </w:pPr>
      <w:r>
        <w:rPr>
          <w:rFonts w:cs="Times New Roman"/>
        </w:rPr>
        <w:t>HIT affects both the service provider i.e., the hospital or physician, as well as the service user i.e., the patient in a positive way.</w:t>
      </w:r>
    </w:p>
    <w:p w:rsidR="00FC17A0" w:rsidRDefault="00FC17A0" w:rsidP="00304443">
      <w:pPr>
        <w:ind w:firstLine="720"/>
        <w:rPr>
          <w:rFonts w:cs="Times New Roman"/>
        </w:rPr>
      </w:pPr>
      <w:r>
        <w:rPr>
          <w:rFonts w:cs="Times New Roman"/>
        </w:rPr>
        <w:lastRenderedPageBreak/>
        <w:t>It allows rapid information sharing, e-prescriptions and reduced paperwork for patients, and discourages unnecessary testing, as well as encouraging information safety and timely dispensing of information to patients</w:t>
      </w:r>
      <w:r>
        <w:rPr>
          <w:rFonts w:cs="Times New Roman"/>
          <w:b/>
        </w:rPr>
        <w:t xml:space="preserve">. </w:t>
      </w:r>
      <w:r>
        <w:rPr>
          <w:rFonts w:cs="Times New Roman"/>
        </w:rPr>
        <w:t xml:space="preserve">HIT has the potential to improve quality and effectiveness of healthcare systems, as well as to reduce and prevent medical errors, decrease healthcare and store costs, provide early detection and management of various diseases, and deliver up-to-date information to providers (Ahmad, 2015). </w:t>
      </w:r>
    </w:p>
    <w:p w:rsidR="00FC17A0" w:rsidRDefault="00FC17A0" w:rsidP="00304443">
      <w:pPr>
        <w:ind w:firstLine="720"/>
        <w:rPr>
          <w:rFonts w:cs="Times New Roman"/>
        </w:rPr>
      </w:pPr>
      <w:r>
        <w:rPr>
          <w:rFonts w:cs="Times New Roman"/>
        </w:rPr>
        <w:t xml:space="preserve">HIT can directly influence patient satisfaction but can also moderate the effect of other factors such as healthcare facility services, waiting times, service accessibility etc. on patient satisfaction. In this regards HIT can have a dual use both as an independent variable and the moderator variable that impacted the final result of patient-satisfaction. Availability and adoption of health technology in </w:t>
      </w:r>
      <w:proofErr w:type="spellStart"/>
      <w:r>
        <w:rPr>
          <w:rFonts w:cs="Times New Roman"/>
        </w:rPr>
        <w:t>out patient</w:t>
      </w:r>
      <w:proofErr w:type="spellEnd"/>
      <w:r>
        <w:rPr>
          <w:rFonts w:cs="Times New Roman"/>
        </w:rPr>
        <w:t xml:space="preserve"> departments impact patient satisfaction since deliver fast, accurate and accessible health care. Outpatient care has also been enhanced through innovation, through features such as EHRs, telemedicine sites, and other computerizing elements which make work easier, reduce errors, enhance service delivery and all these lead to patient satisfaction.</w:t>
      </w:r>
    </w:p>
    <w:p w:rsidR="00FC17A0" w:rsidRDefault="00FC17A0" w:rsidP="00304443">
      <w:pPr>
        <w:ind w:firstLine="720"/>
        <w:rPr>
          <w:rFonts w:cs="Times New Roman"/>
        </w:rPr>
      </w:pPr>
      <w:r>
        <w:rPr>
          <w:rFonts w:cs="Times New Roman"/>
        </w:rPr>
        <w:t xml:space="preserve">According to Al-Qirim (2020), healthcare technology increases patient satisfaction when outpatient clinics using health ICT are more efficient. The authors explain that through use of technology in delivering health care services, there is less time delay hence improvement of the patient flow. For example, telemedicine in booking appointments, contacting doctors, and using records has made manual work easier for administrative employees and saved time for patients. The intent of this efficient patient care delivery system is not only to increase speed of delivering care but also to meet patients’ perception of the level of care provided. In the case of the smaller medical practice, Al-Qirim opines that those healthcare providers in a position to optimise on the use of technology will be more equipped to address patient indulgence concerning timeliness and co-ordination </w:t>
      </w:r>
      <w:proofErr w:type="spellStart"/>
      <w:r>
        <w:rPr>
          <w:rFonts w:cs="Times New Roman"/>
        </w:rPr>
        <w:t>hefully</w:t>
      </w:r>
      <w:proofErr w:type="spellEnd"/>
      <w:r>
        <w:rPr>
          <w:rFonts w:cs="Times New Roman"/>
        </w:rPr>
        <w:t xml:space="preserve"> resulting in the elevated patient satisfaction levels.</w:t>
      </w:r>
    </w:p>
    <w:p w:rsidR="00FC17A0" w:rsidRDefault="00FC17A0" w:rsidP="00304443">
      <w:pPr>
        <w:ind w:firstLine="720"/>
        <w:rPr>
          <w:rFonts w:cs="Times New Roman"/>
        </w:rPr>
      </w:pPr>
      <w:r>
        <w:rPr>
          <w:rFonts w:cs="Times New Roman"/>
        </w:rPr>
        <w:t xml:space="preserve">Shamsudin et al., 2022 further contend that augmented heath care technology shapes decreased medical mistakes, increased service velocity which leads to patient satisfaction. They demonstrate that the enhancement of organisational intensiveness of technology in the form of e-prescribing systems and automated diagnostics tools minimise human factors risks and expedite the flow of care. These technologies enhance the accuracy of information flow and diagnoses thereby guaranteeing patients the relevant treatment to boost confidence in the health sector. </w:t>
      </w:r>
      <w:r>
        <w:rPr>
          <w:rFonts w:cs="Times New Roman"/>
        </w:rPr>
        <w:lastRenderedPageBreak/>
        <w:t xml:space="preserve">Similarly, Shamsudin et al. (2022) also observe that use of technology is welcomed by patients since they see it as meeting their need of reduced waiting time in terms of service delivery as this makes </w:t>
      </w:r>
      <w:proofErr w:type="spellStart"/>
      <w:r>
        <w:rPr>
          <w:rFonts w:cs="Times New Roman"/>
        </w:rPr>
        <w:t>out patient</w:t>
      </w:r>
      <w:proofErr w:type="spellEnd"/>
      <w:r>
        <w:rPr>
          <w:rFonts w:cs="Times New Roman"/>
        </w:rPr>
        <w:t xml:space="preserve"> experience a positive </w:t>
      </w:r>
      <w:proofErr w:type="gramStart"/>
      <w:r>
        <w:rPr>
          <w:rFonts w:cs="Times New Roman"/>
        </w:rPr>
        <w:t>one..</w:t>
      </w:r>
      <w:proofErr w:type="gramEnd"/>
    </w:p>
    <w:p w:rsidR="00FC17A0" w:rsidRDefault="00FC17A0" w:rsidP="00304443">
      <w:pPr>
        <w:ind w:firstLine="720"/>
        <w:rPr>
          <w:rFonts w:cs="Times New Roman"/>
        </w:rPr>
      </w:pPr>
      <w:r>
        <w:rPr>
          <w:rFonts w:cs="Times New Roman"/>
        </w:rPr>
        <w:t>Thus, Greenhalgh et al. (2020) explore the role of HITs more generally in enhancing hospitals’ efficiency, which in turn affects patients’ satisfaction levels. The study posits that technology goes further to improve the internal processes of the health facilities, improves on the speed and quality of care which in turn, begets greater levels of patient satisfaction. For instance, the adoption of EHR systems may enhance the way through which HC providers can promptly and appropriately access patient information thus sparing considerable time on paperwork and administrative processes. It also leads to increased time spent on patient care which in turn enhances the quality and efficiency of service delivery. As found by Greenhalgh et al., the implementation of effective healthcare IT is critically important to enhance the patient experience because it reduces the occurrence of delays in workloads.</w:t>
      </w:r>
    </w:p>
    <w:p w:rsidR="00FC17A0" w:rsidRDefault="00FC17A0" w:rsidP="00304443">
      <w:pPr>
        <w:ind w:firstLine="720"/>
        <w:rPr>
          <w:rFonts w:cs="Times New Roman"/>
        </w:rPr>
      </w:pPr>
      <w:r>
        <w:rPr>
          <w:rFonts w:cs="Times New Roman"/>
        </w:rPr>
        <w:t>Neves et al (2021) discuss how EHR and telemedicine platforms improve patient satisfaction and strengthening patient engagement. According to their results, these technologies not only enhance the availability of services but the communications between the patients and the professionals as well. Thus, telemedicine is also beneficial in outpatient services since it enables patients to receive a service without going through the inconvenience of moving around and having to wait for long hours to be treated. Instead, EHR systems allow patients to track their medical records and test results, which promote patient-</w:t>
      </w:r>
      <w:proofErr w:type="spellStart"/>
      <w:r>
        <w:rPr>
          <w:rFonts w:cs="Times New Roman"/>
        </w:rPr>
        <w:t>centered</w:t>
      </w:r>
      <w:proofErr w:type="spellEnd"/>
      <w:r>
        <w:rPr>
          <w:rFonts w:cs="Times New Roman"/>
        </w:rPr>
        <w:t xml:space="preserve"> care and patient engagement. Thus, according to Neves et al., owing to the augmented access and effectiveness introduced by these digital forms, patients can experience enhanced satisfaction since they are more involved with the treatment process.</w:t>
      </w:r>
    </w:p>
    <w:p w:rsidR="00FC17A0" w:rsidRDefault="00FC17A0" w:rsidP="00FC17A0">
      <w:pPr>
        <w:rPr>
          <w:rFonts w:cs="Times New Roman"/>
        </w:rPr>
      </w:pPr>
      <w:r>
        <w:rPr>
          <w:rFonts w:cs="Times New Roman"/>
        </w:rPr>
        <w:t>2.4.5. Moderating variable influence on dependent and independent variables</w:t>
      </w:r>
    </w:p>
    <w:p w:rsidR="00FC17A0" w:rsidRDefault="00FC17A0" w:rsidP="00304443">
      <w:pPr>
        <w:ind w:firstLine="720"/>
        <w:rPr>
          <w:rFonts w:cs="Times New Roman"/>
        </w:rPr>
      </w:pPr>
      <w:r>
        <w:rPr>
          <w:rFonts w:cs="Times New Roman"/>
        </w:rPr>
        <w:t xml:space="preserve"> </w:t>
      </w:r>
      <w:r w:rsidR="001425F7">
        <w:rPr>
          <w:rFonts w:cs="Times New Roman"/>
        </w:rPr>
        <w:t>T</w:t>
      </w:r>
      <w:r>
        <w:rPr>
          <w:rFonts w:cs="Times New Roman"/>
        </w:rPr>
        <w:t xml:space="preserve">he moderating variable of technology efficiency included in the research model is directly related to patient satisfaction. HIT has a significant and positive correlation with patient care in context to its attributes. the provision of which can be quantified by measuring patient satisfaction. The link between HIT and patient satisfaction is a complex one. A simulated study using artificial neural networks to predict the impact of HIT on patient satisfaction demonstrated, through different scenarios, that the full implementation of HIT in hospitals can greatly increase </w:t>
      </w:r>
      <w:r>
        <w:rPr>
          <w:rFonts w:cs="Times New Roman"/>
        </w:rPr>
        <w:lastRenderedPageBreak/>
        <w:t>patient satisfaction (Roham, Gabrielyan &amp; Archer, 2019). For patients to benefit from, and rate HIT, they need to accept it first. Acceptance for HIT among patients is variable and dependent on several factors, such as income and level of education, access and availability, ease of use, and health and treatment related factors (Or &amp; Karsh, 2009). However, with the advent of time, more patients are beginning to realize the benefits of HIT, and this has reflected in their positive perceptions and attitudes regarding electronic health and appointment systems as well (Handan, 2016).</w:t>
      </w:r>
    </w:p>
    <w:p w:rsidR="00FC17A0" w:rsidRDefault="00FC17A0" w:rsidP="00304443">
      <w:pPr>
        <w:ind w:firstLine="720"/>
      </w:pPr>
      <w:r>
        <w:t>Technology efficiency also has direct and intermediary relationships with the independent variables of patients experiences with OPD services and facilities, waiting times, and effective working procedures. HIT can influence the efficiency of various services and facilities: for instance, it can speed up pharmacy services with the use of e-prescriptions. It can also reduce dosage errors and alert pharmacists to potential drug allergies in patients. Use of HIT can allow physicians to access all patient information in one place—this can decrease consultation time, and also allow patient referrals to be made easily. Telemonitoring systems can lead nurses to monitor patients with minimal staffing requirements, especially in areas where workload is high, and staff is stretched thin.</w:t>
      </w:r>
    </w:p>
    <w:p w:rsidR="00FC17A0" w:rsidRDefault="00FC17A0" w:rsidP="00304443">
      <w:pPr>
        <w:ind w:firstLine="720"/>
      </w:pPr>
      <w:r>
        <w:t xml:space="preserve">The direction and strength of these relationships between the moderating and dependent and independent variables will be further explored in relevant sections in our study. </w:t>
      </w:r>
    </w:p>
    <w:p w:rsidR="00FC17A0" w:rsidRDefault="00FC17A0" w:rsidP="00FC17A0">
      <w:pPr>
        <w:pStyle w:val="Heading3"/>
        <w:rPr>
          <w:rFonts w:cs="Times New Roman"/>
        </w:rPr>
      </w:pPr>
      <w:r>
        <w:rPr>
          <w:rFonts w:cs="Times New Roman"/>
        </w:rPr>
        <w:t>2.5. UNDERPINNING THEORY</w:t>
      </w:r>
    </w:p>
    <w:p w:rsidR="00304443" w:rsidRDefault="00FC17A0" w:rsidP="00304443">
      <w:pPr>
        <w:shd w:val="clear" w:color="auto" w:fill="FFFFFF"/>
        <w:spacing w:before="100" w:beforeAutospacing="1" w:after="150"/>
        <w:ind w:firstLine="720"/>
        <w:rPr>
          <w:rFonts w:cs="Times New Roman"/>
          <w:color w:val="000000"/>
        </w:rPr>
      </w:pPr>
      <w:r>
        <w:rPr>
          <w:color w:val="000000"/>
        </w:rPr>
        <w:t>The underpinning theory in our study is extracted from models of patient-</w:t>
      </w:r>
      <w:proofErr w:type="spellStart"/>
      <w:r>
        <w:rPr>
          <w:color w:val="000000"/>
        </w:rPr>
        <w:t>centered</w:t>
      </w:r>
      <w:proofErr w:type="spellEnd"/>
      <w:r>
        <w:rPr>
          <w:color w:val="000000"/>
        </w:rPr>
        <w:t xml:space="preserve"> care, which </w:t>
      </w:r>
      <w:r>
        <w:rPr>
          <w:rFonts w:cs="Times New Roman"/>
          <w:color w:val="000000"/>
        </w:rPr>
        <w:t xml:space="preserve">lead to patient satisfaction. According to Stewart (2001), patients require PCC which explores their reasons for visit, their concerns and need for information; considers patients not just as service users but as an integrated sum of their personal and emotional needs and issues; explores common grounds on diagnosis and management of disease with the patients; enhances prevention; and improves on the continual doctor-patient relationship. Kitson et al. (2019) conducted a review of literature to determine the core elements of PCC. According to them, patient participation and patient involvement, patient-healthcare professional (HCP) relationship, and area of care delivery are the core elements of PCC, all of which may have the same conceptual source. </w:t>
      </w:r>
    </w:p>
    <w:p w:rsidR="00304443" w:rsidRDefault="00FC17A0" w:rsidP="00304443">
      <w:pPr>
        <w:shd w:val="clear" w:color="auto" w:fill="FFFFFF"/>
        <w:spacing w:before="100" w:beforeAutospacing="1" w:after="150"/>
        <w:ind w:firstLine="720"/>
        <w:rPr>
          <w:rFonts w:cs="Times New Roman"/>
          <w:color w:val="000000"/>
        </w:rPr>
      </w:pPr>
      <w:r>
        <w:rPr>
          <w:rFonts w:cs="Times New Roman"/>
          <w:color w:val="000000"/>
        </w:rPr>
        <w:lastRenderedPageBreak/>
        <w:t xml:space="preserve">Different providers focus on different aspects of these elements, leading to differences in the way PCC is actually implemented in clinical care. As an essential component of high-quality care, PCC not only results in </w:t>
      </w:r>
      <w:proofErr w:type="spellStart"/>
      <w:r>
        <w:rPr>
          <w:rFonts w:cs="Times New Roman"/>
          <w:color w:val="000000"/>
        </w:rPr>
        <w:t>favorable</w:t>
      </w:r>
      <w:proofErr w:type="spellEnd"/>
      <w:r>
        <w:rPr>
          <w:rFonts w:cs="Times New Roman"/>
          <w:color w:val="000000"/>
        </w:rPr>
        <w:t xml:space="preserve"> economic and clinical outcomes, but also in improved patient satisfaction, quality of life, and self-management approach (Delaney, 2018; Pirhonen et al., 2019; Lor, Crooks, &amp; Tluczek, 2016). PCC promotes holistic care which aligned with individual patient’s values, cultural backgrounds, and requests, with the goal of empowering patients in their treatment process (El-Alti, Sandman, &amp; Munthe, 2019). </w:t>
      </w:r>
    </w:p>
    <w:p w:rsidR="00304443" w:rsidRDefault="00FC17A0" w:rsidP="00304443">
      <w:pPr>
        <w:shd w:val="clear" w:color="auto" w:fill="FFFFFF"/>
        <w:spacing w:before="100" w:beforeAutospacing="1" w:after="150"/>
        <w:ind w:firstLine="720"/>
        <w:rPr>
          <w:rFonts w:cs="Times New Roman"/>
          <w:color w:val="000000"/>
        </w:rPr>
      </w:pPr>
      <w:r>
        <w:rPr>
          <w:rFonts w:cs="Times New Roman"/>
          <w:color w:val="000000"/>
        </w:rPr>
        <w:t xml:space="preserve">The Planetree model </w:t>
      </w:r>
      <w:r w:rsidR="00281612">
        <w:rPr>
          <w:rFonts w:cs="Times New Roman"/>
          <w:color w:val="000000"/>
        </w:rPr>
        <w:t>based</w:t>
      </w:r>
      <w:r>
        <w:rPr>
          <w:rFonts w:cs="Times New Roman"/>
          <w:color w:val="000000"/>
        </w:rPr>
        <w:t xml:space="preserve"> on nine tenets of patient-</w:t>
      </w:r>
      <w:proofErr w:type="spellStart"/>
      <w:r>
        <w:rPr>
          <w:rFonts w:cs="Times New Roman"/>
          <w:color w:val="000000"/>
        </w:rPr>
        <w:t>centered</w:t>
      </w:r>
      <w:proofErr w:type="spellEnd"/>
      <w:r>
        <w:rPr>
          <w:rFonts w:cs="Times New Roman"/>
          <w:color w:val="000000"/>
        </w:rPr>
        <w:t xml:space="preserve"> care, which were formulated to make patients partners in their care so that they could meet their human needs and improve overall outcomes (Shaller, 2007). Patient-centeredness is </w:t>
      </w:r>
      <w:proofErr w:type="gramStart"/>
      <w:r>
        <w:rPr>
          <w:rFonts w:cs="Times New Roman"/>
          <w:color w:val="000000"/>
        </w:rPr>
        <w:t>an</w:t>
      </w:r>
      <w:proofErr w:type="gramEnd"/>
      <w:r>
        <w:rPr>
          <w:rFonts w:cs="Times New Roman"/>
          <w:color w:val="000000"/>
        </w:rPr>
        <w:t xml:space="preserve"> dimension of healthcare quality (Berwick, 2009). At an organizational level, seven key factors have been defined to formulate a framework for providing PCC. This is a central component of HIT. Widespread use of EHRs is crucial for healthcare delivery improvement in outpatient, inpatient, ambulatory, and community care settings, and can support better delivery of PCC (Richardson et al., 2001).</w:t>
      </w:r>
      <w:r>
        <w:rPr>
          <w:rFonts w:cs="Times New Roman"/>
          <w:b/>
          <w:color w:val="000000"/>
        </w:rPr>
        <w:t xml:space="preserve"> </w:t>
      </w:r>
      <w:r>
        <w:rPr>
          <w:rFonts w:cs="Times New Roman"/>
          <w:color w:val="000000"/>
        </w:rPr>
        <w:t>different theoretic models of data interpretation, including the top-box and the discrepancy model, can be applied to understand the satisfaction data. In the former, the highest rating of a question is used as the basis of comparison, whereas in the latter, the perceived discrepancy between expectations and experience defines satisfaction (Williams, 1994).  This interpretation should ideally begin with an examination of the measurement methods i.e., verification of psychometric properties such as validity and reliability (</w:t>
      </w:r>
      <w:proofErr w:type="spellStart"/>
      <w:r>
        <w:rPr>
          <w:rFonts w:cs="Times New Roman"/>
          <w:color w:val="000000"/>
        </w:rPr>
        <w:t>Sitzia</w:t>
      </w:r>
      <w:proofErr w:type="spellEnd"/>
      <w:r>
        <w:rPr>
          <w:rFonts w:cs="Times New Roman"/>
          <w:color w:val="000000"/>
        </w:rPr>
        <w:t xml:space="preserve">, 1999; Barnett et al., 2018). </w:t>
      </w:r>
    </w:p>
    <w:p w:rsidR="00304443" w:rsidRDefault="00FC17A0" w:rsidP="00304443">
      <w:pPr>
        <w:shd w:val="clear" w:color="auto" w:fill="FFFFFF"/>
        <w:spacing w:before="100" w:beforeAutospacing="1" w:after="150"/>
        <w:ind w:firstLine="720"/>
        <w:rPr>
          <w:color w:val="000000"/>
        </w:rPr>
      </w:pPr>
      <w:r>
        <w:rPr>
          <w:rFonts w:cs="Times New Roman"/>
          <w:color w:val="000000"/>
        </w:rPr>
        <w:t xml:space="preserve">There are a variety of qualitative methods which can be utilized for determining patient satisfaction. These include professional observations regarding satisfaction by the healthcare provider, personal interviews with the patients, or focused group discussions to highlight issues affecting satisfaction (White, 1999; Shirley, Josephson &amp; Sanders, 2016). HCP attitude and communication level and patient’s trust are key factors in determining patient satisfaction (Chandra, Ward &amp; Mohammad Nezhad, 2019). </w:t>
      </w:r>
    </w:p>
    <w:p w:rsidR="00304443" w:rsidRDefault="00FC17A0" w:rsidP="00304443">
      <w:pPr>
        <w:shd w:val="clear" w:color="auto" w:fill="FFFFFF"/>
        <w:spacing w:before="100" w:beforeAutospacing="1" w:after="150"/>
        <w:ind w:firstLine="720"/>
        <w:rPr>
          <w:color w:val="000000"/>
        </w:rPr>
      </w:pPr>
      <w:r>
        <w:rPr>
          <w:color w:val="000000"/>
        </w:rPr>
        <w:t xml:space="preserve">The Unified Theory of Acceptance and Use of Technology (UTAUT) (2003): This theory builds on the TAM and includes other determinants that affect the acceptance of technology in an organization. The Diffusion of Innovations Theory (DIT) (1962): That is, the dissemination of new </w:t>
      </w:r>
      <w:r>
        <w:rPr>
          <w:color w:val="000000"/>
        </w:rPr>
        <w:lastRenderedPageBreak/>
        <w:t>ideas and practices in a given population is not random but occurs in a certain pattern. The Technology-Mediated Care Model (TMCM) (2008): According to this model, one can utilise applications to enhance patient care through the delivery of information, self-management and communication. The Patient-</w:t>
      </w:r>
      <w:proofErr w:type="spellStart"/>
      <w:r>
        <w:rPr>
          <w:color w:val="000000"/>
        </w:rPr>
        <w:t>Centered</w:t>
      </w:r>
      <w:proofErr w:type="spellEnd"/>
      <w:r>
        <w:rPr>
          <w:color w:val="000000"/>
        </w:rPr>
        <w:t xml:space="preserve"> Technology Acceptance Model (PCT-AM) (2017): The present model builds from the TAM and includes factors that are unique to patient-</w:t>
      </w:r>
      <w:proofErr w:type="spellStart"/>
      <w:r>
        <w:rPr>
          <w:color w:val="000000"/>
        </w:rPr>
        <w:t>centered</w:t>
      </w:r>
      <w:proofErr w:type="spellEnd"/>
      <w:r>
        <w:rPr>
          <w:color w:val="000000"/>
        </w:rPr>
        <w:t xml:space="preserve"> care like patient autonomy and trust in technology. </w:t>
      </w:r>
    </w:p>
    <w:p w:rsidR="00304443" w:rsidRDefault="00FC17A0" w:rsidP="00304443">
      <w:pPr>
        <w:shd w:val="clear" w:color="auto" w:fill="FFFFFF"/>
        <w:spacing w:before="100" w:beforeAutospacing="1" w:after="150"/>
        <w:ind w:firstLine="720"/>
        <w:rPr>
          <w:color w:val="000000"/>
        </w:rPr>
      </w:pPr>
      <w:r>
        <w:rPr>
          <w:color w:val="000000"/>
        </w:rPr>
        <w:t xml:space="preserve">The SERVQUAL model: This model, proposed by Parasuraman, Zeithaml and Berry (1988) indicate five dimensions affect patient satisfaction. The tangible aspects of a service include the appearance of facilities and tools. </w:t>
      </w:r>
      <w:proofErr w:type="spellStart"/>
      <w:proofErr w:type="gramStart"/>
      <w:r>
        <w:rPr>
          <w:color w:val="000000"/>
        </w:rPr>
        <w:t>Reliability:The</w:t>
      </w:r>
      <w:proofErr w:type="spellEnd"/>
      <w:proofErr w:type="gramEnd"/>
      <w:r>
        <w:rPr>
          <w:color w:val="000000"/>
        </w:rPr>
        <w:t xml:space="preserve"> degree to which marketing communication conveys the provider's service quality to the buyer. The provider's responsiveness refers to their capacity to assist patients and answer their requirements. Assurance elements for providers include expertise, civility, and ability to build trust with patients. Empathy is providing compassionate and personalized health care services to </w:t>
      </w:r>
      <w:proofErr w:type="spellStart"/>
      <w:proofErr w:type="gramStart"/>
      <w:r>
        <w:rPr>
          <w:color w:val="000000"/>
        </w:rPr>
        <w:t>patients.P</w:t>
      </w:r>
      <w:proofErr w:type="spellEnd"/>
      <w:proofErr w:type="gramEnd"/>
      <w:r>
        <w:rPr>
          <w:color w:val="000000"/>
        </w:rPr>
        <w:t xml:space="preserve">: Patient expectations because The patient's overall treatment </w:t>
      </w:r>
      <w:proofErr w:type="spellStart"/>
      <w:r>
        <w:rPr>
          <w:color w:val="000000"/>
        </w:rPr>
        <w:t>experience.ability</w:t>
      </w:r>
      <w:proofErr w:type="spellEnd"/>
      <w:r>
        <w:rPr>
          <w:color w:val="000000"/>
        </w:rPr>
        <w:t xml:space="preserve"> to continuously supply promised service. Responsiveness: The provider's eagerness to assist and meet patient needs. Assurance: the provider's knowledge, kindness, and ability to build patient confidence. Empathy is the ability to provide personalized care to patients. According to the 1996 Patient Satisfaction Model by Hall and Dornan, patient satisfaction is determined by three dimensions. Patients' </w:t>
      </w:r>
      <w:proofErr w:type="spellStart"/>
      <w:proofErr w:type="gramStart"/>
      <w:r>
        <w:rPr>
          <w:color w:val="000000"/>
        </w:rPr>
        <w:t>hopes:Patient</w:t>
      </w:r>
      <w:proofErr w:type="spellEnd"/>
      <w:proofErr w:type="gramEnd"/>
      <w:r>
        <w:rPr>
          <w:color w:val="000000"/>
        </w:rPr>
        <w:t xml:space="preserve"> expectations about healthcare. Patient perception: Perceptions of the actual care delivery procedure. A patient's response to a healthcare encounter refers to their feelings or reactions. According to the 2001 Institute of Medicine Patient-</w:t>
      </w:r>
      <w:proofErr w:type="spellStart"/>
      <w:r>
        <w:rPr>
          <w:color w:val="000000"/>
        </w:rPr>
        <w:t>Centered</w:t>
      </w:r>
      <w:proofErr w:type="spellEnd"/>
      <w:r>
        <w:rPr>
          <w:color w:val="000000"/>
        </w:rPr>
        <w:t xml:space="preserve"> Care Model, patient fear is directly related to providing the appropriate therapy at the appropriate time, manner, and manner. </w:t>
      </w:r>
    </w:p>
    <w:p w:rsidR="00304443" w:rsidRDefault="00FC17A0" w:rsidP="00304443">
      <w:pPr>
        <w:shd w:val="clear" w:color="auto" w:fill="FFFFFF"/>
        <w:spacing w:before="100" w:beforeAutospacing="1" w:after="150"/>
        <w:ind w:firstLine="720"/>
        <w:rPr>
          <w:color w:val="000000"/>
        </w:rPr>
      </w:pPr>
      <w:r>
        <w:rPr>
          <w:color w:val="000000"/>
        </w:rPr>
        <w:t>Ensure patient-</w:t>
      </w:r>
      <w:proofErr w:type="spellStart"/>
      <w:r>
        <w:rPr>
          <w:color w:val="000000"/>
        </w:rPr>
        <w:t>centered</w:t>
      </w:r>
      <w:proofErr w:type="spellEnd"/>
      <w:r>
        <w:rPr>
          <w:color w:val="000000"/>
        </w:rPr>
        <w:t xml:space="preserve"> care that respects cultural, spiritual, and personal beliefs and preferences. Ensure care is coordinated and integrated across operationalization/care definitions. healthcare system. PEOC model: Patient Experience of Occupational </w:t>
      </w:r>
      <w:proofErr w:type="spellStart"/>
      <w:r>
        <w:rPr>
          <w:color w:val="000000"/>
        </w:rPr>
        <w:t>CareThe</w:t>
      </w:r>
      <w:proofErr w:type="spellEnd"/>
      <w:r>
        <w:rPr>
          <w:color w:val="000000"/>
        </w:rPr>
        <w:t xml:space="preserve"> 2008 the Institute over Healthcare Improvement model indicates five aspects affect patient experience: Staffing and </w:t>
      </w:r>
      <w:proofErr w:type="spellStart"/>
      <w:proofErr w:type="gramStart"/>
      <w:r>
        <w:rPr>
          <w:color w:val="000000"/>
        </w:rPr>
        <w:t>communication:Improving</w:t>
      </w:r>
      <w:proofErr w:type="spellEnd"/>
      <w:proofErr w:type="gramEnd"/>
      <w:r>
        <w:rPr>
          <w:color w:val="000000"/>
        </w:rPr>
        <w:t xml:space="preserve"> patient-staff interactions and providing information and assistance. The physical environment includes comfort, convenience, and amenities. Access to care: Ease of scheduling appointments and timely medical visits. Coordinating of care between providers and continuity of care. Patient engagement: The level of patient involvement and empowerment in </w:t>
      </w:r>
      <w:r>
        <w:rPr>
          <w:color w:val="000000"/>
        </w:rPr>
        <w:lastRenderedPageBreak/>
        <w:t xml:space="preserve">their care. The 2010 Centre for the Prevention and Control of Diseases Outpatient Departmental Service Survey (ODSS) model identifies four elements that impact patient satisfaction: Waiting time: The width of time patients wait until they see a doctor and its perceived fairness. Easy registration and clear information provided for appointment scheduling. </w:t>
      </w:r>
    </w:p>
    <w:p w:rsidR="00304443" w:rsidRDefault="00FC17A0" w:rsidP="00304443">
      <w:pPr>
        <w:shd w:val="clear" w:color="auto" w:fill="FFFFFF"/>
        <w:spacing w:before="100" w:beforeAutospacing="1" w:after="150"/>
        <w:ind w:firstLine="720"/>
        <w:rPr>
          <w:color w:val="000000"/>
        </w:rPr>
      </w:pPr>
      <w:r>
        <w:rPr>
          <w:color w:val="000000"/>
        </w:rPr>
        <w:t xml:space="preserve">The physical environment includes comfort, convenience, and cleanliness of facilities. Aspects of staff include friendliness, helpfulness, knowledge, and competence. PEPC model: Patient Experience of General </w:t>
      </w:r>
      <w:r w:rsidR="00304443">
        <w:rPr>
          <w:color w:val="000000"/>
        </w:rPr>
        <w:t>Practitioner. The</w:t>
      </w:r>
      <w:r>
        <w:rPr>
          <w:color w:val="000000"/>
        </w:rPr>
        <w:t xml:space="preserve"> 2019 Agency för Health Care Quality and Research model </w:t>
      </w:r>
      <w:r w:rsidR="00304443">
        <w:rPr>
          <w:color w:val="000000"/>
        </w:rPr>
        <w:t>suggests that</w:t>
      </w:r>
      <w:r>
        <w:rPr>
          <w:color w:val="000000"/>
        </w:rPr>
        <w:t xml:space="preserve"> patient experience is influenced by six dimensions: Access to care: The promptness of treatment, simplicity of scheduling appointments, and accessibility to medical professionals. Quality of interactions among patients and clinicians, as well as the availability of assistance and information, are aspects of communication. Comfort, convenience, and availability of amenities in the physical environment. Coordination of treatment among several providers and a feeling of familiarity with one's caretakers constitute continuity of care. The degree to which each patient's requirements and preferences are taken into account when providing care is known as patient-centeredness. Patient activation refers to the level of patient engagement and agency in their own healthcare. </w:t>
      </w:r>
    </w:p>
    <w:p w:rsidR="00304443" w:rsidRDefault="00FC17A0" w:rsidP="00304443">
      <w:pPr>
        <w:shd w:val="clear" w:color="auto" w:fill="FFFFFF"/>
        <w:spacing w:before="100" w:beforeAutospacing="1" w:after="150"/>
        <w:ind w:firstLine="720"/>
        <w:rPr>
          <w:color w:val="000000"/>
        </w:rPr>
      </w:pPr>
      <w:r>
        <w:rPr>
          <w:color w:val="000000"/>
        </w:rPr>
        <w:t xml:space="preserve">An expansion of the TAM, the unification of the Theory of Use and Acceptance of Technology </w:t>
      </w:r>
      <w:proofErr w:type="gramStart"/>
      <w:r>
        <w:rPr>
          <w:color w:val="000000"/>
        </w:rPr>
        <w:t>( UTAUT</w:t>
      </w:r>
      <w:proofErr w:type="gramEnd"/>
      <w:r>
        <w:rPr>
          <w:color w:val="000000"/>
        </w:rPr>
        <w:t xml:space="preserve"> ) (2003) considers not only technical aspects but also social influences and enabling environments when determinants of technology adoption are considered. Digital health tools can enhance patient care, according to the Technology-Mediated Care paradigm (TMCM) (2008). This paradigm posits that patients can better control their own health with the use of these tools, and that doctors and patients can communicate more easily. </w:t>
      </w:r>
    </w:p>
    <w:p w:rsidR="00304443" w:rsidRDefault="00FC17A0" w:rsidP="00304443">
      <w:pPr>
        <w:shd w:val="clear" w:color="auto" w:fill="FFFFFF"/>
        <w:spacing w:before="100" w:beforeAutospacing="1" w:after="150"/>
        <w:ind w:firstLine="720"/>
        <w:rPr>
          <w:color w:val="000000"/>
        </w:rPr>
      </w:pPr>
      <w:r>
        <w:rPr>
          <w:color w:val="000000"/>
        </w:rPr>
        <w:t xml:space="preserve">The following aspects are proposed to impact technology efficiency according to the Technologies Efficiency Model (TEM) (2015): How well-designed and user-friendly the technology is; this is a measure of its quality. The degree of which technological innovation is in sync with the organization's aims and purposes; this is the fit between the two. The level of efficiency and effectiveness with which the equipment that is </w:t>
      </w:r>
      <w:proofErr w:type="spellStart"/>
      <w:r>
        <w:rPr>
          <w:color w:val="000000"/>
        </w:rPr>
        <w:t>is</w:t>
      </w:r>
      <w:proofErr w:type="spellEnd"/>
      <w:r>
        <w:rPr>
          <w:color w:val="000000"/>
        </w:rPr>
        <w:t xml:space="preserve"> controlled. According to the Technology Sustainable Model (TSM</w:t>
      </w:r>
      <w:proofErr w:type="gramStart"/>
      <w:r>
        <w:rPr>
          <w:color w:val="000000"/>
        </w:rPr>
        <w:t>)(</w:t>
      </w:r>
      <w:proofErr w:type="gramEnd"/>
      <w:r>
        <w:rPr>
          <w:color w:val="000000"/>
        </w:rPr>
        <w:t xml:space="preserve">2017), the following variables affect the longevity of </w:t>
      </w:r>
      <w:r>
        <w:rPr>
          <w:color w:val="000000"/>
        </w:rPr>
        <w:lastRenderedPageBreak/>
        <w:t xml:space="preserve">technological advancements: The dedication of the organization to </w:t>
      </w:r>
      <w:proofErr w:type="spellStart"/>
      <w:r>
        <w:rPr>
          <w:color w:val="000000"/>
        </w:rPr>
        <w:t>technology:How</w:t>
      </w:r>
      <w:proofErr w:type="spellEnd"/>
      <w:r>
        <w:rPr>
          <w:color w:val="000000"/>
        </w:rPr>
        <w:t xml:space="preserve"> seriously the company takes the idea of enhancing its operations through the use of technology. </w:t>
      </w:r>
    </w:p>
    <w:p w:rsidR="00FC17A0" w:rsidRDefault="00FC17A0" w:rsidP="00304443">
      <w:pPr>
        <w:shd w:val="clear" w:color="auto" w:fill="FFFFFF"/>
        <w:spacing w:before="100" w:beforeAutospacing="1" w:after="150"/>
        <w:ind w:firstLine="720"/>
        <w:rPr>
          <w:rFonts w:ascii="Segoe UI" w:hAnsi="Segoe UI" w:cs="Segoe UI"/>
          <w:color w:val="000000"/>
        </w:rPr>
      </w:pPr>
      <w:r>
        <w:rPr>
          <w:color w:val="000000"/>
        </w:rPr>
        <w:t xml:space="preserve">How open people are to embracing and making use of new technology is known as usability. Technological support: The level of technical support that the organization offers for the technology. Due to the lack of direct models linking customer satisfaction wit HIT efficiency found in the literature, our foundational theory is based on previous models for PCC, a which provide a definition of </w:t>
      </w:r>
      <w:proofErr w:type="gramStart"/>
      <w:r>
        <w:rPr>
          <w:color w:val="000000"/>
        </w:rPr>
        <w:t>satisfaction..</w:t>
      </w:r>
      <w:proofErr w:type="gramEnd"/>
      <w:r>
        <w:rPr>
          <w:color w:val="000000"/>
        </w:rPr>
        <w:t xml:space="preserve"> </w:t>
      </w:r>
    </w:p>
    <w:p w:rsidR="00FC17A0" w:rsidRDefault="00FC17A0" w:rsidP="00FC17A0">
      <w:pPr>
        <w:rPr>
          <w:color w:val="000000"/>
        </w:rPr>
      </w:pPr>
      <w:r>
        <w:rPr>
          <w:color w:val="000000"/>
        </w:rPr>
        <w:t xml:space="preserve">Our theory is based on the IPFCC model of PCC, which utilizes four core concepts of dignity and respect, participation, information sharing, and collaboration to provide an innovative approach to healthcare planning, delivery and evaluation, which is grounded in the principle of mutually beneficial partnerships between patients, families, and HCPs (Hsu et al., 2019). This model is supplemented by </w:t>
      </w:r>
      <w:r>
        <w:rPr>
          <w:rFonts w:cs="Times New Roman"/>
          <w:color w:val="000000"/>
        </w:rPr>
        <w:t>Larson et al. (2019) framework for the inter-relationships between measures of patient satisfaction and quality of care, which defines how patient’s experience of care can affect health outcomes and satisfaction with care, and how both of these are dependent on patient’s needs, expectations, and values.</w:t>
      </w:r>
    </w:p>
    <w:p w:rsidR="00FC17A0" w:rsidRDefault="00FC17A0" w:rsidP="00304443">
      <w:pPr>
        <w:ind w:firstLine="720"/>
        <w:rPr>
          <w:color w:val="000000"/>
        </w:rPr>
      </w:pPr>
      <w:r>
        <w:rPr>
          <w:color w:val="000000"/>
        </w:rPr>
        <w:t>These underpinning theories in our research are explored in direct relation to technology efficiency through our research variables, which have been discussed at length in section 2.4.</w:t>
      </w:r>
    </w:p>
    <w:p w:rsidR="00FC17A0" w:rsidRDefault="00FC17A0" w:rsidP="00FC17A0">
      <w:pPr>
        <w:pStyle w:val="Heading3"/>
        <w:rPr>
          <w:rFonts w:cs="Times New Roman"/>
          <w:color w:val="000000"/>
        </w:rPr>
      </w:pPr>
      <w:r>
        <w:rPr>
          <w:rFonts w:cs="Times New Roman"/>
          <w:color w:val="000000"/>
        </w:rPr>
        <w:t>2.6. RESEARCH GAP</w:t>
      </w:r>
    </w:p>
    <w:p w:rsidR="00FC17A0" w:rsidRDefault="00FC17A0" w:rsidP="00304443">
      <w:pPr>
        <w:ind w:firstLine="720"/>
        <w:rPr>
          <w:color w:val="000000"/>
        </w:rPr>
      </w:pPr>
      <w:r>
        <w:rPr>
          <w:color w:val="000000"/>
        </w:rPr>
        <w:t xml:space="preserve">Our study identifies and explores a significant research gap in the role of technology efficiency in determining patient satisfaction in Southern region of Saudi Arabia. Significant gaps exist in terms of communication with patients, especially since most physicians in Saudi Arabia are from overseas (Senitan et al., 2018); research on how to improve these gaps is required. Current research is lacking the role of individual outpatient and diagnostic services on patient satisfaction (Mohd &amp; Chakravarty, 2014). </w:t>
      </w:r>
    </w:p>
    <w:p w:rsidR="00FC17A0" w:rsidRDefault="00FC17A0" w:rsidP="00304443">
      <w:pPr>
        <w:ind w:firstLine="720"/>
        <w:rPr>
          <w:color w:val="000000"/>
        </w:rPr>
      </w:pPr>
      <w:r>
        <w:rPr>
          <w:color w:val="000000"/>
        </w:rPr>
        <w:t>Research on patient satisfaction with EHRs has been mostly regional—the impact of research findings cannot be generalized to other areas (</w:t>
      </w:r>
      <w:proofErr w:type="spellStart"/>
      <w:r>
        <w:rPr>
          <w:color w:val="000000"/>
        </w:rPr>
        <w:t>Alrasheedi</w:t>
      </w:r>
      <w:proofErr w:type="spellEnd"/>
      <w:r>
        <w:rPr>
          <w:color w:val="000000"/>
        </w:rPr>
        <w:t xml:space="preserve"> et al., 2019). This also holds true for research on staff and physician perception regarding HIT (Alshammari, 2021; Alsalman et al., 2021). Certain studies have been conducted in departments other than outpatient, like ED (</w:t>
      </w:r>
      <w:proofErr w:type="spellStart"/>
      <w:r>
        <w:rPr>
          <w:color w:val="000000"/>
        </w:rPr>
        <w:t>Aljudaie</w:t>
      </w:r>
      <w:proofErr w:type="spellEnd"/>
      <w:r>
        <w:rPr>
          <w:color w:val="000000"/>
        </w:rPr>
        <w:t xml:space="preserve"> et al., 2020); their findings cannot be extrapolated to the diverse outpatient setting. </w:t>
      </w:r>
    </w:p>
    <w:p w:rsidR="00FC17A0" w:rsidRDefault="00FC17A0" w:rsidP="00304443">
      <w:pPr>
        <w:ind w:firstLine="720"/>
        <w:rPr>
          <w:color w:val="000000"/>
        </w:rPr>
      </w:pPr>
      <w:r>
        <w:rPr>
          <w:color w:val="000000"/>
        </w:rPr>
        <w:lastRenderedPageBreak/>
        <w:t xml:space="preserve">Research methodology is also responsible for research gap regarding patient satisfaction and HIT. The majority of literature on this topic is related to cross-sectional surveys—as a consequence, beyond plausibility assumptions, causality of relationships between dependent and independent variables cannot be determined by these studies (Thapa et al., 2021). There is also a lack of research on management of human barriers related to staff compliance and lack of sufficient staff support with the implementation of HIT in hospitals (Sayed, 2019). Some studies have identified underutilization of EHRs due to poor knowledge, poor cultural valuation of patients' right and autonomy, and poor patient education (Bah et al., 2011); however, further research on mitigation of these factors as well as their causes is still lacking. Aldosari (2014) pointed out rightly that physician acceptance of HIT can be a deciding factor in determining its implementation. If physicians and staff do not accept or feel uncomfortable with using HIT, they are unlikely to utilize it to its full potential and may not be able to satisfy patients adequately. In this regard, staff cooperation to the maximum limit is required for proper implementation of HIT to ensure patient satisfaction (Shaker, Farooq &amp; </w:t>
      </w:r>
      <w:proofErr w:type="spellStart"/>
      <w:r>
        <w:rPr>
          <w:color w:val="000000"/>
        </w:rPr>
        <w:t>Dhafar</w:t>
      </w:r>
      <w:proofErr w:type="spellEnd"/>
      <w:r>
        <w:rPr>
          <w:color w:val="000000"/>
        </w:rPr>
        <w:t>, 2015)</w:t>
      </w:r>
    </w:p>
    <w:p w:rsidR="00FC17A0" w:rsidRDefault="00FC17A0" w:rsidP="00FC17A0">
      <w:pPr>
        <w:sectPr w:rsidR="00FC17A0" w:rsidSect="00FC17A0">
          <w:pgSz w:w="12240" w:h="15840"/>
          <w:pgMar w:top="1440" w:right="1440" w:bottom="1440" w:left="1440" w:header="720" w:footer="720" w:gutter="0"/>
          <w:cols w:space="720"/>
          <w:docGrid w:linePitch="360"/>
        </w:sectPr>
      </w:pPr>
    </w:p>
    <w:p w:rsidR="00FC17A0" w:rsidRDefault="00FC17A0" w:rsidP="00FC17A0">
      <w:pPr>
        <w:pStyle w:val="Heading3"/>
        <w:rPr>
          <w:rFonts w:eastAsia="Calibri"/>
          <w:szCs w:val="22"/>
        </w:rPr>
      </w:pPr>
      <w:r>
        <w:lastRenderedPageBreak/>
        <w:t>2.7. SUMMARY OF RELATED LITERATURE</w:t>
      </w:r>
    </w:p>
    <w:tbl>
      <w:tblPr>
        <w:tblStyle w:val="GridTable1Light1"/>
        <w:tblW w:w="13636" w:type="dxa"/>
        <w:tblLayout w:type="fixed"/>
        <w:tblLook w:val="04A0" w:firstRow="1" w:lastRow="0" w:firstColumn="1" w:lastColumn="0" w:noHBand="0" w:noVBand="1"/>
      </w:tblPr>
      <w:tblGrid>
        <w:gridCol w:w="1132"/>
        <w:gridCol w:w="2081"/>
        <w:gridCol w:w="1520"/>
        <w:gridCol w:w="2073"/>
        <w:gridCol w:w="1243"/>
        <w:gridCol w:w="2182"/>
        <w:gridCol w:w="1703"/>
        <w:gridCol w:w="1702"/>
      </w:tblGrid>
      <w:tr w:rsidR="00FC17A0" w:rsidTr="0069266D">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3636" w:type="dxa"/>
            <w:gridSpan w:val="8"/>
          </w:tcPr>
          <w:p w:rsidR="00FC17A0" w:rsidRDefault="00FC17A0" w:rsidP="0069266D">
            <w:pPr>
              <w:spacing w:line="240" w:lineRule="auto"/>
              <w:jc w:val="center"/>
              <w:rPr>
                <w:rFonts w:cs="Times New Roman"/>
                <w:sz w:val="20"/>
                <w:szCs w:val="20"/>
              </w:rPr>
            </w:pPr>
            <w:r>
              <w:rPr>
                <w:rFonts w:cs="Times New Roman"/>
                <w:szCs w:val="20"/>
              </w:rPr>
              <w:t>Patient Satisfaction Related Literature</w:t>
            </w:r>
          </w:p>
        </w:tc>
      </w:tr>
      <w:tr w:rsidR="00FC17A0" w:rsidTr="0069266D">
        <w:trPr>
          <w:trHeight w:val="694"/>
        </w:trPr>
        <w:tc>
          <w:tcPr>
            <w:cnfStyle w:val="001000000000" w:firstRow="0" w:lastRow="0" w:firstColumn="1" w:lastColumn="0" w:oddVBand="0" w:evenVBand="0" w:oddHBand="0" w:evenHBand="0" w:firstRowFirstColumn="0" w:firstRowLastColumn="0" w:lastRowFirstColumn="0" w:lastRowLastColumn="0"/>
            <w:tcW w:w="1132" w:type="dxa"/>
          </w:tcPr>
          <w:p w:rsidR="00FC17A0" w:rsidRDefault="00FC17A0" w:rsidP="0069266D">
            <w:pPr>
              <w:spacing w:line="240" w:lineRule="auto"/>
              <w:jc w:val="left"/>
              <w:rPr>
                <w:rFonts w:cs="Times New Roman"/>
                <w:sz w:val="22"/>
                <w:szCs w:val="20"/>
              </w:rPr>
            </w:pPr>
            <w:r>
              <w:rPr>
                <w:rFonts w:cs="Times New Roman"/>
                <w:sz w:val="22"/>
                <w:szCs w:val="20"/>
              </w:rPr>
              <w:t>Author (Year)</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Objectives</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Methods</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Independent Variables</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Dependent Variables</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Findings</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Suggested Future Research</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Gap (This Study)</w:t>
            </w:r>
          </w:p>
        </w:tc>
      </w:tr>
      <w:tr w:rsidR="00FC17A0" w:rsidTr="0069266D">
        <w:trPr>
          <w:trHeight w:val="4875"/>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lang w:val="en-US"/>
              </w:rPr>
            </w:pPr>
            <w:r>
              <w:rPr>
                <w:rFonts w:cs="Times New Roman"/>
                <w:color w:val="000000"/>
                <w:sz w:val="20"/>
                <w:szCs w:val="20"/>
              </w:rPr>
              <w:t>Senitan et al., 2018</w:t>
            </w:r>
          </w:p>
        </w:tc>
        <w:tc>
          <w:tcPr>
            <w:tcW w:w="2081"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Intends to investigate patient satisfaction (PS) among Saudi Arabian patients who visited primary care facilities run by the Ministry of Health (MoH), with an emphasis on their interactions with doctors.</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Patient satisfaction (PS) Methodology</w:t>
            </w:r>
          </w:p>
        </w:tc>
        <w:tc>
          <w:tcPr>
            <w:tcW w:w="2073"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There are five primary domains that influence patient-physician communication.</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 xml:space="preserve">Despite their satisfaction with primary care facilities, patients said </w:t>
            </w:r>
            <w:r w:rsidR="00281612">
              <w:rPr>
                <w:rFonts w:cs="Times New Roman"/>
                <w:color w:val="000000"/>
                <w:sz w:val="20"/>
                <w:szCs w:val="20"/>
              </w:rPr>
              <w:t>u</w:t>
            </w:r>
            <w:r w:rsidR="00281612" w:rsidRPr="00281612">
              <w:rPr>
                <w:rFonts w:cs="Times New Roman"/>
                <w:color w:val="000000"/>
                <w:sz w:val="20"/>
                <w:szCs w:val="20"/>
              </w:rPr>
              <w:t xml:space="preserve">sually, they headed directly to the emergency </w:t>
            </w:r>
            <w:proofErr w:type="gramStart"/>
            <w:r w:rsidR="00281612" w:rsidRPr="00281612">
              <w:rPr>
                <w:rFonts w:cs="Times New Roman"/>
                <w:color w:val="000000"/>
                <w:sz w:val="20"/>
                <w:szCs w:val="20"/>
              </w:rPr>
              <w:t>department.</w:t>
            </w:r>
            <w:r w:rsidRPr="00304443">
              <w:rPr>
                <w:rFonts w:cs="Times New Roman"/>
                <w:color w:val="000000"/>
                <w:sz w:val="20"/>
                <w:szCs w:val="20"/>
              </w:rPr>
              <w:t>.</w:t>
            </w:r>
            <w:proofErr w:type="gramEnd"/>
            <w:r w:rsidRPr="00304443">
              <w:rPr>
                <w:rFonts w:cs="Times New Roman"/>
                <w:color w:val="000000"/>
                <w:sz w:val="20"/>
                <w:szCs w:val="20"/>
              </w:rPr>
              <w:t xml:space="preserve"> This suggested that their satisfaction with the primary healthcare facility was unlikely to be completely satisfied.</w:t>
            </w:r>
          </w:p>
        </w:tc>
        <w:tc>
          <w:tcPr>
            <w:tcW w:w="1703"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In order to close this gap, future studies should compare patient happiness and experiences within the same population. To improve the utilization of various PS metrics that accurately reflect the PHC condition of the Saudi populace, more research is required. Future studies ought to look into Saudi Arabian PHC patient experience metrics as well.</w:t>
            </w:r>
          </w:p>
        </w:tc>
        <w:tc>
          <w:tcPr>
            <w:tcW w:w="1702"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A more thorough and lucid analysis of the communication domain is required because the majority of Saudi Arabia's doctors are foreign-born. To improve our comprehension of the communication between doctors and patients, an examination of the communication subdomains is necessary.</w:t>
            </w:r>
          </w:p>
        </w:tc>
      </w:tr>
      <w:tr w:rsidR="00FC17A0" w:rsidTr="0069266D">
        <w:trPr>
          <w:trHeight w:val="44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Alotaibi et al., 2021</w:t>
            </w:r>
          </w:p>
        </w:tc>
        <w:tc>
          <w:tcPr>
            <w:tcW w:w="2081"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 xml:space="preserve">To determine how satisfied patients are with pharmacy services when they visit </w:t>
            </w:r>
            <w:r w:rsidR="00281612">
              <w:rPr>
                <w:rFonts w:cs="Times New Roman"/>
                <w:color w:val="000000"/>
                <w:sz w:val="20"/>
                <w:szCs w:val="20"/>
              </w:rPr>
              <w:t>S</w:t>
            </w:r>
            <w:r w:rsidR="00281612" w:rsidRPr="00281612">
              <w:rPr>
                <w:rFonts w:cs="Times New Roman"/>
                <w:color w:val="000000"/>
                <w:sz w:val="20"/>
                <w:szCs w:val="20"/>
              </w:rPr>
              <w:t>audi Arabian Kingdom outpatient pharmacies</w:t>
            </w:r>
          </w:p>
        </w:tc>
        <w:tc>
          <w:tcPr>
            <w:tcW w:w="1520" w:type="dxa"/>
          </w:tcPr>
          <w:p w:rsidR="00FC17A0" w:rsidRDefault="00304443"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304443">
              <w:rPr>
                <w:rFonts w:cs="Times New Roman"/>
                <w:color w:val="000000"/>
                <w:sz w:val="20"/>
                <w:szCs w:val="20"/>
              </w:rPr>
              <w:t>Literature-based conceptual framework</w:t>
            </w:r>
          </w:p>
        </w:tc>
        <w:tc>
          <w:tcPr>
            <w:tcW w:w="2073"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Subjects and their opinions about the outpatient pharmacy</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According to this survey, patients' satisfaction with outpatient pharmacies was low and varied depending on their sociodemographic group.</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Enhance literature to validate model</w:t>
            </w:r>
            <w:r>
              <w:rPr>
                <w:rFonts w:cs="Times New Roman"/>
                <w:color w:val="000000"/>
                <w:sz w:val="20"/>
                <w:szCs w:val="20"/>
              </w:rPr>
              <w:br/>
              <w:t>-conceptual framework</w:t>
            </w:r>
          </w:p>
        </w:tc>
        <w:tc>
          <w:tcPr>
            <w:tcW w:w="170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Furthermore, the study did not evaluate the patients' health, which could have caused confusion when interpreting the findings.</w:t>
            </w:r>
          </w:p>
        </w:tc>
      </w:tr>
      <w:tr w:rsidR="00FC17A0" w:rsidTr="0069266D">
        <w:trPr>
          <w:trHeight w:val="332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lastRenderedPageBreak/>
              <w:t>Mohd &amp; Chakravarty, 2014</w:t>
            </w:r>
          </w:p>
        </w:tc>
        <w:tc>
          <w:tcPr>
            <w:tcW w:w="2081" w:type="dxa"/>
          </w:tcPr>
          <w:p w:rsidR="00FC17A0" w:rsidRDefault="00281612"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281612">
              <w:rPr>
                <w:rFonts w:cs="Times New Roman"/>
                <w:color w:val="000000"/>
                <w:sz w:val="20"/>
                <w:szCs w:val="20"/>
              </w:rPr>
              <w:t>The study's objective was to examine and contrast the degree of satisfaction among patients who visited a hospital's outpatient department.</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Conceptual framework from literature</w:t>
            </w:r>
          </w:p>
        </w:tc>
        <w:tc>
          <w:tcPr>
            <w:tcW w:w="2073" w:type="dxa"/>
          </w:tcPr>
          <w:p w:rsidR="00FC17A0" w:rsidRDefault="00281612"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281612">
              <w:rPr>
                <w:rFonts w:cs="Times New Roman"/>
                <w:color w:val="000000"/>
                <w:sz w:val="20"/>
                <w:szCs w:val="20"/>
              </w:rPr>
              <w:t xml:space="preserve">Experiences of Patients with OPD's Facilities and Services  </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Patient satisfaction with services</w:t>
            </w:r>
          </w:p>
        </w:tc>
        <w:tc>
          <w:tcPr>
            <w:tcW w:w="1703" w:type="dxa"/>
          </w:tcPr>
          <w:p w:rsidR="00FC17A0" w:rsidRDefault="00281612"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281612">
              <w:rPr>
                <w:rFonts w:cs="Times New Roman"/>
                <w:color w:val="000000"/>
                <w:sz w:val="20"/>
                <w:szCs w:val="20"/>
              </w:rPr>
              <w:t xml:space="preserve">To enhance the </w:t>
            </w:r>
            <w:proofErr w:type="spellStart"/>
            <w:r w:rsidRPr="00281612">
              <w:rPr>
                <w:rFonts w:cs="Times New Roman"/>
                <w:color w:val="000000"/>
                <w:sz w:val="20"/>
                <w:szCs w:val="20"/>
              </w:rPr>
              <w:t>caliber</w:t>
            </w:r>
            <w:proofErr w:type="spellEnd"/>
            <w:r w:rsidRPr="00281612">
              <w:rPr>
                <w:rFonts w:cs="Times New Roman"/>
                <w:color w:val="000000"/>
                <w:sz w:val="20"/>
                <w:szCs w:val="20"/>
              </w:rPr>
              <w:t xml:space="preserve"> and results of such research, it is advised that a future study be carried out with a broader focus and greater attention to certain departments or services using case-mix and risk adjustment methodologies</w:t>
            </w:r>
            <w:r w:rsidR="00FC17A0">
              <w:rPr>
                <w:rFonts w:cs="Times New Roman"/>
                <w:color w:val="000000"/>
                <w:sz w:val="20"/>
                <w:szCs w:val="20"/>
              </w:rPr>
              <w:t>.</w:t>
            </w:r>
          </w:p>
        </w:tc>
        <w:tc>
          <w:tcPr>
            <w:tcW w:w="1702" w:type="dxa"/>
          </w:tcPr>
          <w:p w:rsidR="00FC17A0" w:rsidRDefault="00281612"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281612">
              <w:rPr>
                <w:rFonts w:cs="Times New Roman"/>
                <w:color w:val="000000"/>
                <w:sz w:val="20"/>
                <w:szCs w:val="20"/>
              </w:rPr>
              <w:t>The study has several shortcomings, including the omission to examine patient satisfaction with specific OPD and diagnostic services and the non-use of case-mix adjustment techniques.</w:t>
            </w:r>
          </w:p>
        </w:tc>
      </w:tr>
      <w:tr w:rsidR="00FC17A0" w:rsidTr="0069266D">
        <w:trPr>
          <w:trHeight w:val="323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proofErr w:type="spellStart"/>
            <w:r>
              <w:rPr>
                <w:rFonts w:cs="Times New Roman"/>
                <w:color w:val="000000"/>
                <w:sz w:val="20"/>
                <w:szCs w:val="20"/>
              </w:rPr>
              <w:t>Alrasheedi</w:t>
            </w:r>
            <w:proofErr w:type="spellEnd"/>
            <w:r>
              <w:rPr>
                <w:rFonts w:cs="Times New Roman"/>
                <w:color w:val="000000"/>
                <w:sz w:val="20"/>
                <w:szCs w:val="20"/>
              </w:rPr>
              <w:t xml:space="preserve"> et al., 2019</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This study aimed at assessing the association between the wait time and the satisfaction of patients in the selected primary health </w:t>
            </w:r>
            <w:proofErr w:type="spellStart"/>
            <w:r>
              <w:rPr>
                <w:rFonts w:cs="Times New Roman"/>
                <w:color w:val="000000"/>
                <w:sz w:val="20"/>
                <w:szCs w:val="20"/>
              </w:rPr>
              <w:t>centers</w:t>
            </w:r>
            <w:proofErr w:type="spellEnd"/>
            <w:r>
              <w:rPr>
                <w:rFonts w:cs="Times New Roman"/>
                <w:color w:val="000000"/>
                <w:sz w:val="20"/>
                <w:szCs w:val="20"/>
              </w:rPr>
              <w:t xml:space="preserve"> in Al-Qassim region.</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Accessibilities towards Services</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Research examined association between the wait times and</w:t>
            </w:r>
            <w:r>
              <w:rPr>
                <w:rFonts w:cs="Times New Roman"/>
                <w:color w:val="000000"/>
                <w:sz w:val="20"/>
                <w:szCs w:val="20"/>
              </w:rPr>
              <w:br/>
              <w:t>patient satisfaction</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Overall patients were mainly dissatisfied for wait times in relation to medication dispensation, vital signs measurement, dental consultations, and radiological investigation. The study found a positive association between the patient satisfaction and their education, marital status, and job.</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There is a need for a large-scale study that measures</w:t>
            </w:r>
            <w:r>
              <w:rPr>
                <w:rFonts w:cs="Times New Roman"/>
                <w:color w:val="000000"/>
                <w:sz w:val="20"/>
                <w:szCs w:val="20"/>
              </w:rPr>
              <w:br/>
              <w:t>the wait time and patients’ satisfaction at the primary health</w:t>
            </w:r>
            <w:r>
              <w:rPr>
                <w:rFonts w:cs="Times New Roman"/>
                <w:color w:val="000000"/>
                <w:sz w:val="20"/>
                <w:szCs w:val="20"/>
              </w:rPr>
              <w:br/>
            </w:r>
            <w:proofErr w:type="spellStart"/>
            <w:r>
              <w:rPr>
                <w:rFonts w:cs="Times New Roman"/>
                <w:color w:val="000000"/>
                <w:sz w:val="20"/>
                <w:szCs w:val="20"/>
              </w:rPr>
              <w:t>centers</w:t>
            </w:r>
            <w:proofErr w:type="spellEnd"/>
            <w:r>
              <w:rPr>
                <w:rFonts w:cs="Times New Roman"/>
                <w:color w:val="000000"/>
                <w:sz w:val="20"/>
                <w:szCs w:val="20"/>
              </w:rPr>
              <w:t xml:space="preserve"> in order to find the better association</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The study was carried out in the selected primary health </w:t>
            </w:r>
            <w:proofErr w:type="spellStart"/>
            <w:r>
              <w:rPr>
                <w:rFonts w:cs="Times New Roman"/>
                <w:color w:val="000000"/>
                <w:sz w:val="20"/>
                <w:szCs w:val="20"/>
              </w:rPr>
              <w:t>centers</w:t>
            </w:r>
            <w:proofErr w:type="spellEnd"/>
            <w:r>
              <w:rPr>
                <w:rFonts w:cs="Times New Roman"/>
                <w:color w:val="000000"/>
                <w:sz w:val="20"/>
                <w:szCs w:val="20"/>
              </w:rPr>
              <w:t xml:space="preserve"> in the Al-Qassim region, generalization to cover the rest of Saudi Arabia or even the central region remains uncertain.</w:t>
            </w:r>
          </w:p>
        </w:tc>
      </w:tr>
      <w:tr w:rsidR="00FC17A0" w:rsidTr="0069266D">
        <w:trPr>
          <w:trHeight w:val="89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proofErr w:type="spellStart"/>
            <w:r>
              <w:rPr>
                <w:rFonts w:cs="Times New Roman"/>
                <w:color w:val="000000"/>
                <w:sz w:val="20"/>
                <w:szCs w:val="20"/>
              </w:rPr>
              <w:t>Aljudaie</w:t>
            </w:r>
            <w:proofErr w:type="spellEnd"/>
            <w:r>
              <w:rPr>
                <w:rFonts w:cs="Times New Roman"/>
                <w:color w:val="000000"/>
                <w:sz w:val="20"/>
                <w:szCs w:val="20"/>
              </w:rPr>
              <w:t xml:space="preserve"> et al., 2020</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To assess the satisfaction of patients admitted to the emergency department (ED) of King Abdulaziz Medical City in Saudi Arabia and to determine the related factors</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Conceptual framework from Literature </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Waiting time to receive services.</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Higher satisfaction levels were</w:t>
            </w:r>
            <w:r>
              <w:rPr>
                <w:rFonts w:cs="Times New Roman"/>
                <w:color w:val="000000"/>
                <w:sz w:val="20"/>
                <w:szCs w:val="20"/>
              </w:rPr>
              <w:br/>
              <w:t>observed among patients who were treated in the main ED, were admitted during the morning shift, visited the ED</w:t>
            </w:r>
            <w:r>
              <w:rPr>
                <w:rFonts w:cs="Times New Roman"/>
                <w:color w:val="000000"/>
                <w:sz w:val="20"/>
                <w:szCs w:val="20"/>
              </w:rPr>
              <w:br/>
            </w:r>
            <w:r w:rsidR="00281612" w:rsidRPr="00281612">
              <w:rPr>
                <w:rFonts w:cs="Times New Roman"/>
                <w:color w:val="000000"/>
                <w:sz w:val="20"/>
                <w:szCs w:val="20"/>
              </w:rPr>
              <w:t xml:space="preserve">had shorter wait times to see the doctor during the slower season (August–September). </w:t>
            </w:r>
            <w:r w:rsidR="00281612" w:rsidRPr="00281612">
              <w:rPr>
                <w:rFonts w:cs="Times New Roman"/>
                <w:color w:val="000000"/>
                <w:sz w:val="20"/>
                <w:szCs w:val="20"/>
              </w:rPr>
              <w:lastRenderedPageBreak/>
              <w:t>Patients had the least satisfaction with nursing care and the most satisfaction with admission</w:t>
            </w:r>
            <w:r>
              <w:rPr>
                <w:rFonts w:cs="Times New Roman"/>
                <w:color w:val="000000"/>
                <w:sz w:val="20"/>
                <w:szCs w:val="20"/>
              </w:rPr>
              <w:t>.</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lastRenderedPageBreak/>
              <w:t>The majority of the complaints were regarding nurses (language barrier-related issues), waiting time for specialist</w:t>
            </w:r>
            <w:r>
              <w:rPr>
                <w:rFonts w:cs="Times New Roman"/>
                <w:color w:val="000000"/>
                <w:sz w:val="20"/>
                <w:szCs w:val="20"/>
              </w:rPr>
              <w:br/>
              <w:t>consultation, and poor explanation of laboratory and imaging results</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Data were obtained from only one institution; they reflect patient satisfaction only with the services provided in the ED</w:t>
            </w:r>
          </w:p>
        </w:tc>
      </w:tr>
      <w:tr w:rsidR="00FC17A0" w:rsidTr="0069266D">
        <w:trPr>
          <w:trHeight w:val="4418"/>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Asiri et al., 2018,</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To assess different aspects of patients’ satisfaction in relation to the health education services provided in Primary Health Care </w:t>
            </w:r>
            <w:proofErr w:type="spellStart"/>
            <w:r>
              <w:rPr>
                <w:rFonts w:cs="Times New Roman"/>
                <w:color w:val="000000"/>
                <w:sz w:val="20"/>
                <w:szCs w:val="20"/>
              </w:rPr>
              <w:t>centers</w:t>
            </w:r>
            <w:proofErr w:type="spellEnd"/>
            <w:r>
              <w:rPr>
                <w:rFonts w:cs="Times New Roman"/>
                <w:color w:val="000000"/>
                <w:sz w:val="20"/>
                <w:szCs w:val="20"/>
              </w:rPr>
              <w:t xml:space="preserve"> at a Major Medical </w:t>
            </w:r>
            <w:proofErr w:type="spellStart"/>
            <w:r>
              <w:rPr>
                <w:rFonts w:cs="Times New Roman"/>
                <w:color w:val="000000"/>
                <w:sz w:val="20"/>
                <w:szCs w:val="20"/>
              </w:rPr>
              <w:t>Center</w:t>
            </w:r>
            <w:proofErr w:type="spellEnd"/>
            <w:r>
              <w:rPr>
                <w:rFonts w:cs="Times New Roman"/>
                <w:color w:val="000000"/>
                <w:sz w:val="20"/>
                <w:szCs w:val="20"/>
              </w:rPr>
              <w:t xml:space="preserve"> in Riyadh, Kingdom of Saudi</w:t>
            </w:r>
            <w:r>
              <w:rPr>
                <w:rFonts w:cs="Times New Roman"/>
                <w:color w:val="000000"/>
                <w:sz w:val="20"/>
                <w:szCs w:val="20"/>
              </w:rPr>
              <w:br/>
              <w:t>Arabia</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Cross-sectional survey</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Satisfaction with different health education services.</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participants expressed a positive evaluation of the distinct</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There is a need to strengthen the capacity of health education services by controlling the shortage in human resources and</w:t>
            </w:r>
            <w:r>
              <w:rPr>
                <w:rFonts w:cs="Times New Roman"/>
                <w:color w:val="000000"/>
                <w:sz w:val="20"/>
                <w:szCs w:val="20"/>
              </w:rPr>
              <w:br/>
              <w:t xml:space="preserve">establishing of professional development </w:t>
            </w:r>
            <w:r w:rsidR="00281612" w:rsidRPr="00281612">
              <w:rPr>
                <w:rFonts w:cs="Times New Roman"/>
                <w:color w:val="000000"/>
                <w:sz w:val="20"/>
                <w:szCs w:val="20"/>
              </w:rPr>
              <w:t>initiatives and plans for all medical professionals as well as auxiliary supplies and machinery in primary healthcare facilities</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Strategies based on </w:t>
            </w:r>
            <w:proofErr w:type="spellStart"/>
            <w:r>
              <w:rPr>
                <w:rFonts w:cs="Times New Roman"/>
                <w:color w:val="000000"/>
                <w:sz w:val="20"/>
                <w:szCs w:val="20"/>
              </w:rPr>
              <w:t>behavioral</w:t>
            </w:r>
            <w:proofErr w:type="spellEnd"/>
            <w:r>
              <w:rPr>
                <w:rFonts w:cs="Times New Roman"/>
                <w:color w:val="000000"/>
                <w:sz w:val="20"/>
                <w:szCs w:val="20"/>
              </w:rPr>
              <w:t xml:space="preserve"> theory are</w:t>
            </w:r>
            <w:r>
              <w:rPr>
                <w:rFonts w:cs="Times New Roman"/>
                <w:color w:val="000000"/>
                <w:sz w:val="20"/>
                <w:szCs w:val="20"/>
              </w:rPr>
              <w:br/>
              <w:t>recommended to increase motivation to increase attendance of health</w:t>
            </w:r>
            <w:r>
              <w:rPr>
                <w:rFonts w:cs="Times New Roman"/>
                <w:color w:val="000000"/>
                <w:sz w:val="20"/>
                <w:szCs w:val="20"/>
              </w:rPr>
              <w:br/>
              <w:t>education services.</w:t>
            </w:r>
          </w:p>
        </w:tc>
      </w:tr>
      <w:tr w:rsidR="00FC17A0" w:rsidTr="0069266D">
        <w:trPr>
          <w:trHeight w:val="1857"/>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Asres et al., 2020</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Determining the extent of patient satisfaction in the outpatient services provided at</w:t>
            </w:r>
            <w:r>
              <w:rPr>
                <w:rFonts w:cs="Times New Roman"/>
                <w:color w:val="000000"/>
                <w:sz w:val="20"/>
                <w:szCs w:val="20"/>
              </w:rPr>
              <w:br/>
            </w:r>
            <w:proofErr w:type="spellStart"/>
            <w:r>
              <w:rPr>
                <w:rFonts w:cs="Times New Roman"/>
                <w:color w:val="000000"/>
                <w:sz w:val="20"/>
                <w:szCs w:val="20"/>
              </w:rPr>
              <w:t>Dangila</w:t>
            </w:r>
            <w:proofErr w:type="spellEnd"/>
            <w:r>
              <w:rPr>
                <w:rFonts w:cs="Times New Roman"/>
                <w:color w:val="000000"/>
                <w:sz w:val="20"/>
                <w:szCs w:val="20"/>
              </w:rPr>
              <w:t xml:space="preserve"> primary hospital</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Patient Satisfaction toward OPD services</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The binary logistic regression indicated that educational</w:t>
            </w:r>
            <w:r>
              <w:rPr>
                <w:rFonts w:cs="Times New Roman"/>
                <w:color w:val="000000"/>
                <w:sz w:val="20"/>
                <w:szCs w:val="20"/>
              </w:rPr>
              <w:br/>
              <w:t>status, satisfaction with courtesy and respect, measures</w:t>
            </w:r>
            <w:r>
              <w:rPr>
                <w:rFonts w:cs="Times New Roman"/>
                <w:color w:val="000000"/>
                <w:sz w:val="20"/>
                <w:szCs w:val="20"/>
              </w:rPr>
              <w:br/>
              <w:t>taken to assure confidentiali</w:t>
            </w:r>
            <w:r>
              <w:rPr>
                <w:rFonts w:cs="Times New Roman"/>
                <w:color w:val="000000"/>
                <w:sz w:val="20"/>
                <w:szCs w:val="20"/>
              </w:rPr>
              <w:lastRenderedPageBreak/>
              <w:t>ty, laboratory requests,</w:t>
            </w:r>
            <w:r>
              <w:rPr>
                <w:rFonts w:cs="Times New Roman"/>
                <w:color w:val="000000"/>
                <w:sz w:val="20"/>
                <w:szCs w:val="20"/>
              </w:rPr>
              <w:br/>
              <w:t>drugs and supplies, overall cleanliness and service</w:t>
            </w:r>
            <w:r>
              <w:rPr>
                <w:rFonts w:cs="Times New Roman"/>
                <w:color w:val="000000"/>
                <w:sz w:val="20"/>
                <w:szCs w:val="20"/>
              </w:rPr>
              <w:br/>
              <w:t>recommendations were associated factors of patient</w:t>
            </w:r>
            <w:r>
              <w:rPr>
                <w:rFonts w:cs="Times New Roman"/>
                <w:color w:val="000000"/>
                <w:sz w:val="20"/>
                <w:szCs w:val="20"/>
              </w:rPr>
              <w:br/>
              <w:t>satisfaction</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lastRenderedPageBreak/>
              <w:t>Courtesy and respect and satisfaction with confidentiality taken by the examiner during</w:t>
            </w:r>
            <w:r>
              <w:rPr>
                <w:rFonts w:cs="Times New Roman"/>
                <w:color w:val="000000"/>
                <w:sz w:val="20"/>
                <w:szCs w:val="20"/>
              </w:rPr>
              <w:br/>
              <w:t>physical examination was associated factors for patient satisfaction. Outpatient waiting time was</w:t>
            </w:r>
            <w:r>
              <w:rPr>
                <w:rFonts w:cs="Times New Roman"/>
                <w:color w:val="000000"/>
                <w:sz w:val="20"/>
                <w:szCs w:val="20"/>
              </w:rPr>
              <w:br/>
              <w:t>less than one hour</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The courtesy and respect of the Doctor/Nurse during patient visit</w:t>
            </w:r>
            <w:r w:rsidR="00281612" w:rsidRPr="00281612">
              <w:rPr>
                <w:rFonts w:cs="Times New Roman"/>
                <w:color w:val="000000"/>
                <w:sz w:val="20"/>
                <w:szCs w:val="20"/>
              </w:rPr>
              <w:t xml:space="preserve"> steps taken to ensure patient privacy were essential for patient satisfaction</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More precisely evaluation required</w:t>
            </w:r>
          </w:p>
        </w:tc>
      </w:tr>
      <w:tr w:rsidR="00FC17A0" w:rsidTr="0069266D">
        <w:trPr>
          <w:trHeight w:val="80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Alomari et al., 2021</w:t>
            </w:r>
          </w:p>
        </w:tc>
        <w:tc>
          <w:tcPr>
            <w:tcW w:w="2081"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 xml:space="preserve">To determine how satisfied Saudi men in </w:t>
            </w:r>
            <w:proofErr w:type="spellStart"/>
            <w:r w:rsidRPr="00EA5769">
              <w:rPr>
                <w:rFonts w:cs="Times New Roman"/>
                <w:color w:val="000000"/>
                <w:sz w:val="20"/>
                <w:szCs w:val="20"/>
              </w:rPr>
              <w:t>Albaha</w:t>
            </w:r>
            <w:proofErr w:type="spellEnd"/>
            <w:r w:rsidRPr="00EA5769">
              <w:rPr>
                <w:rFonts w:cs="Times New Roman"/>
                <w:color w:val="000000"/>
                <w:sz w:val="20"/>
                <w:szCs w:val="20"/>
              </w:rPr>
              <w:t xml:space="preserve">, Saudi Arabia are with the medical care they receive at </w:t>
            </w:r>
            <w:proofErr w:type="spellStart"/>
            <w:r w:rsidRPr="00EA5769">
              <w:rPr>
                <w:rFonts w:cs="Times New Roman"/>
                <w:color w:val="000000"/>
                <w:sz w:val="20"/>
                <w:szCs w:val="20"/>
              </w:rPr>
              <w:t>Naqaha</w:t>
            </w:r>
            <w:proofErr w:type="spellEnd"/>
            <w:r w:rsidRPr="00EA5769">
              <w:rPr>
                <w:rFonts w:cs="Times New Roman"/>
                <w:color w:val="000000"/>
                <w:sz w:val="20"/>
                <w:szCs w:val="20"/>
              </w:rPr>
              <w:t xml:space="preserve"> Hospital</w:t>
            </w:r>
          </w:p>
        </w:tc>
        <w:tc>
          <w:tcPr>
            <w:tcW w:w="1520"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 xml:space="preserve">The patient satisfaction questionnaire, which was created to answer a number of questions concerning the hospital's emergency room, admissions and nursing services, physician services, dietary services, diagnostic services, and physical accommodations, was used to gather the </w:t>
            </w:r>
            <w:proofErr w:type="gramStart"/>
            <w:r w:rsidRPr="00EA5769">
              <w:rPr>
                <w:rFonts w:cs="Times New Roman"/>
                <w:color w:val="000000"/>
                <w:sz w:val="20"/>
                <w:szCs w:val="20"/>
              </w:rPr>
              <w:t>data.</w:t>
            </w:r>
            <w:r w:rsidR="00FC17A0">
              <w:rPr>
                <w:rFonts w:cs="Times New Roman"/>
                <w:color w:val="000000"/>
                <w:sz w:val="20"/>
                <w:szCs w:val="20"/>
              </w:rPr>
              <w:t>.</w:t>
            </w:r>
            <w:proofErr w:type="gramEnd"/>
            <w:r w:rsidR="00FC17A0">
              <w:rPr>
                <w:rFonts w:cs="Times New Roman"/>
                <w:color w:val="000000"/>
                <w:sz w:val="20"/>
                <w:szCs w:val="20"/>
              </w:rPr>
              <w:t xml:space="preserve"> The data then was analysed </w:t>
            </w:r>
            <w:r w:rsidR="00FC17A0">
              <w:rPr>
                <w:rFonts w:cs="Times New Roman"/>
                <w:color w:val="000000"/>
                <w:sz w:val="20"/>
                <w:szCs w:val="20"/>
              </w:rPr>
              <w:lastRenderedPageBreak/>
              <w:t>and processed by SPSS</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lastRenderedPageBreak/>
              <w:t>N/A</w:t>
            </w:r>
          </w:p>
        </w:tc>
        <w:tc>
          <w:tcPr>
            <w:tcW w:w="1243"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Patient satisfaction with the Saudi Arabian hospital's outpatient department</w:t>
            </w:r>
          </w:p>
        </w:tc>
        <w:tc>
          <w:tcPr>
            <w:tcW w:w="218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The findings showed that the patients were quite satisfied.</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Increase sample size </w:t>
            </w:r>
          </w:p>
        </w:tc>
        <w:tc>
          <w:tcPr>
            <w:tcW w:w="170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 xml:space="preserve">Aside from the fact that the study's design relied on a non-probability sampling technique, it was difficult to determine the causal relationship </w:t>
            </w:r>
            <w:r w:rsidR="00EE3E21" w:rsidRPr="00EE3E21">
              <w:rPr>
                <w:rFonts w:cs="Times New Roman"/>
                <w:color w:val="000000"/>
                <w:sz w:val="20"/>
                <w:szCs w:val="20"/>
              </w:rPr>
              <w:t>between the study and patient satisfaction</w:t>
            </w:r>
            <w:r w:rsidRPr="00EA5769">
              <w:rPr>
                <w:rFonts w:cs="Times New Roman"/>
                <w:color w:val="000000"/>
                <w:sz w:val="20"/>
                <w:szCs w:val="20"/>
              </w:rPr>
              <w:t xml:space="preserve">. </w:t>
            </w:r>
            <w:r w:rsidR="00281612">
              <w:rPr>
                <w:rFonts w:cs="Times New Roman"/>
                <w:color w:val="000000"/>
                <w:sz w:val="20"/>
                <w:szCs w:val="20"/>
              </w:rPr>
              <w:t>S</w:t>
            </w:r>
            <w:r w:rsidRPr="00EA5769">
              <w:rPr>
                <w:rFonts w:cs="Times New Roman"/>
                <w:color w:val="000000"/>
                <w:sz w:val="20"/>
                <w:szCs w:val="20"/>
              </w:rPr>
              <w:t xml:space="preserve">tudy's strength is that it covered every department at </w:t>
            </w:r>
            <w:proofErr w:type="spellStart"/>
            <w:r w:rsidRPr="00EA5769">
              <w:rPr>
                <w:rFonts w:cs="Times New Roman"/>
                <w:color w:val="000000"/>
                <w:sz w:val="20"/>
                <w:szCs w:val="20"/>
              </w:rPr>
              <w:t>Naqaha</w:t>
            </w:r>
            <w:proofErr w:type="spellEnd"/>
            <w:r w:rsidRPr="00EA5769">
              <w:rPr>
                <w:rFonts w:cs="Times New Roman"/>
                <w:color w:val="000000"/>
                <w:sz w:val="20"/>
                <w:szCs w:val="20"/>
              </w:rPr>
              <w:t xml:space="preserve"> Hospital.</w:t>
            </w:r>
          </w:p>
        </w:tc>
      </w:tr>
      <w:tr w:rsidR="00FC17A0" w:rsidTr="0069266D">
        <w:trPr>
          <w:trHeight w:val="242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Thapa et al., 2021</w:t>
            </w:r>
          </w:p>
        </w:tc>
        <w:tc>
          <w:tcPr>
            <w:tcW w:w="2081"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w:t>
            </w:r>
            <w:r w:rsidRPr="00EA5769">
              <w:rPr>
                <w:rFonts w:cs="Times New Roman"/>
                <w:color w:val="000000"/>
                <w:sz w:val="20"/>
                <w:szCs w:val="20"/>
              </w:rPr>
              <w:t xml:space="preserve">o determine the elements that influence students and healthcare </w:t>
            </w:r>
            <w:proofErr w:type="gramStart"/>
            <w:r w:rsidRPr="00EA5769">
              <w:rPr>
                <w:rFonts w:cs="Times New Roman"/>
                <w:color w:val="000000"/>
                <w:sz w:val="20"/>
                <w:szCs w:val="20"/>
              </w:rPr>
              <w:t>professionals</w:t>
            </w:r>
            <w:proofErr w:type="gramEnd"/>
            <w:r w:rsidRPr="00EA5769">
              <w:rPr>
                <w:rFonts w:cs="Times New Roman"/>
                <w:color w:val="000000"/>
                <w:sz w:val="20"/>
                <w:szCs w:val="20"/>
              </w:rPr>
              <w:t xml:space="preserve"> willingness to employ digital health tools in patient care.</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Quantitative cross-sectional survey study</w:t>
            </w:r>
          </w:p>
        </w:tc>
        <w:tc>
          <w:tcPr>
            <w:tcW w:w="2073" w:type="dxa"/>
          </w:tcPr>
          <w:p w:rsidR="00FC17A0" w:rsidRDefault="00EE3E21"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Tools for digital health in patient care</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Policymakers and hospital administrators should be encouraged by the study's findings to include pertinent eHealth interventions into Saudi Arabia's standard healthcare systems.</w:t>
            </w:r>
          </w:p>
        </w:tc>
        <w:tc>
          <w:tcPr>
            <w:tcW w:w="1703"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Future studies should examine patient willingness to use these tools as well as organizational-level issues that may help or impede the implementation of eHealth.</w:t>
            </w:r>
          </w:p>
        </w:tc>
        <w:tc>
          <w:tcPr>
            <w:tcW w:w="1702" w:type="dxa"/>
          </w:tcPr>
          <w:p w:rsidR="00FC17A0" w:rsidRDefault="00EA5769"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A5769">
              <w:rPr>
                <w:rFonts w:cs="Times New Roman"/>
                <w:color w:val="000000"/>
                <w:sz w:val="20"/>
                <w:szCs w:val="20"/>
              </w:rPr>
              <w:t>Because the study was cross-sectional, the authors were unable to prove causation beyond reasonable doubts</w:t>
            </w:r>
            <w:r w:rsidR="00FC17A0">
              <w:rPr>
                <w:rFonts w:cs="Times New Roman"/>
                <w:color w:val="000000"/>
                <w:sz w:val="20"/>
                <w:szCs w:val="20"/>
              </w:rPr>
              <w:t xml:space="preserve">. </w:t>
            </w:r>
          </w:p>
        </w:tc>
      </w:tr>
      <w:tr w:rsidR="00FC17A0" w:rsidTr="0069266D">
        <w:trPr>
          <w:trHeight w:val="3940"/>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rPr>
            </w:pPr>
            <w:r>
              <w:rPr>
                <w:rFonts w:cs="Times New Roman"/>
                <w:color w:val="000000"/>
                <w:sz w:val="20"/>
                <w:szCs w:val="20"/>
              </w:rPr>
              <w:t>Prakash, 2010</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How to ensure patient satisfaction</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Service excellence</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Patient education</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EA5769" w:rsidRPr="00EA5769" w:rsidRDefault="00EA5769" w:rsidP="00EA5769">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A5769">
              <w:rPr>
                <w:rFonts w:cs="Times New Roman"/>
                <w:color w:val="000000"/>
                <w:sz w:val="20"/>
                <w:szCs w:val="20"/>
                <w:lang w:val="en-US"/>
              </w:rPr>
              <w:t>One significant and widely used metric for assessing the caliber of medical care is patient satisfaction.</w:t>
            </w:r>
          </w:p>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3" w:type="dxa"/>
          </w:tcPr>
          <w:p w:rsidR="00EA5769" w:rsidRPr="00EA5769" w:rsidRDefault="00EA5769" w:rsidP="00EA5769">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A5769">
              <w:rPr>
                <w:rFonts w:cs="Times New Roman"/>
                <w:color w:val="000000"/>
                <w:sz w:val="20"/>
                <w:szCs w:val="20"/>
                <w:lang w:val="en-US"/>
              </w:rPr>
              <w:t>Dissatisfaction is caused by a lack of empathy, poor communication with doctors, and the chronic nature of many conditions.</w:t>
            </w:r>
          </w:p>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2" w:type="dxa"/>
          </w:tcPr>
          <w:p w:rsidR="00FC17A0" w:rsidRDefault="00EE3E21"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lang w:val="en-US"/>
              </w:rPr>
              <w:t>The patient's input improves the system, the facility, and the doctor's work. Despite the advantages of self-assessment, dermatologists rarely have a system in place to examine and assess the caliber of treatment given in the office.</w:t>
            </w:r>
          </w:p>
        </w:tc>
      </w:tr>
    </w:tbl>
    <w:p w:rsidR="00FC17A0" w:rsidRDefault="00FC17A0" w:rsidP="00FC17A0">
      <w:pPr>
        <w:spacing w:line="259" w:lineRule="auto"/>
        <w:jc w:val="left"/>
      </w:pPr>
    </w:p>
    <w:p w:rsidR="00FC17A0" w:rsidRDefault="00FC17A0" w:rsidP="00FC17A0">
      <w:pPr>
        <w:spacing w:line="259" w:lineRule="auto"/>
        <w:jc w:val="left"/>
      </w:pPr>
    </w:p>
    <w:p w:rsidR="00FC17A0" w:rsidRDefault="00FC17A0" w:rsidP="00FC17A0">
      <w:pPr>
        <w:spacing w:line="259" w:lineRule="auto"/>
        <w:jc w:val="left"/>
      </w:pPr>
    </w:p>
    <w:p w:rsidR="00FC17A0" w:rsidRDefault="00FC17A0" w:rsidP="00FC17A0">
      <w:pPr>
        <w:spacing w:line="259" w:lineRule="auto"/>
        <w:jc w:val="left"/>
      </w:pPr>
    </w:p>
    <w:tbl>
      <w:tblPr>
        <w:tblStyle w:val="GridTable1Light1"/>
        <w:tblW w:w="13636" w:type="dxa"/>
        <w:tblLayout w:type="fixed"/>
        <w:tblLook w:val="04A0" w:firstRow="1" w:lastRow="0" w:firstColumn="1" w:lastColumn="0" w:noHBand="0" w:noVBand="1"/>
      </w:tblPr>
      <w:tblGrid>
        <w:gridCol w:w="1132"/>
        <w:gridCol w:w="2081"/>
        <w:gridCol w:w="1520"/>
        <w:gridCol w:w="2073"/>
        <w:gridCol w:w="1243"/>
        <w:gridCol w:w="2182"/>
        <w:gridCol w:w="1703"/>
        <w:gridCol w:w="1702"/>
      </w:tblGrid>
      <w:tr w:rsidR="00FC17A0" w:rsidTr="0069266D">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3636" w:type="dxa"/>
            <w:gridSpan w:val="8"/>
          </w:tcPr>
          <w:p w:rsidR="00FC17A0" w:rsidRDefault="00FC17A0" w:rsidP="0069266D">
            <w:pPr>
              <w:spacing w:line="240" w:lineRule="auto"/>
              <w:jc w:val="center"/>
              <w:rPr>
                <w:rFonts w:cs="Times New Roman"/>
                <w:sz w:val="22"/>
                <w:szCs w:val="20"/>
              </w:rPr>
            </w:pPr>
            <w:r>
              <w:rPr>
                <w:rFonts w:cs="Times New Roman"/>
                <w:szCs w:val="20"/>
              </w:rPr>
              <w:lastRenderedPageBreak/>
              <w:t>Health Information Technology Related Literature</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tcPr>
          <w:p w:rsidR="00FC17A0" w:rsidRDefault="00FC17A0" w:rsidP="0069266D">
            <w:pPr>
              <w:spacing w:line="240" w:lineRule="auto"/>
              <w:jc w:val="left"/>
              <w:rPr>
                <w:rFonts w:cs="Times New Roman"/>
                <w:sz w:val="22"/>
                <w:szCs w:val="20"/>
              </w:rPr>
            </w:pPr>
            <w:r>
              <w:rPr>
                <w:rFonts w:cs="Times New Roman"/>
                <w:sz w:val="22"/>
                <w:szCs w:val="20"/>
              </w:rPr>
              <w:t>Author (Year)</w:t>
            </w:r>
          </w:p>
        </w:tc>
        <w:tc>
          <w:tcPr>
            <w:tcW w:w="2081"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Objectives</w:t>
            </w:r>
          </w:p>
        </w:tc>
        <w:tc>
          <w:tcPr>
            <w:tcW w:w="1520"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Methods</w:t>
            </w:r>
          </w:p>
        </w:tc>
        <w:tc>
          <w:tcPr>
            <w:tcW w:w="207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Independent Variables</w:t>
            </w:r>
          </w:p>
        </w:tc>
        <w:tc>
          <w:tcPr>
            <w:tcW w:w="124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Dependent Variables</w:t>
            </w:r>
          </w:p>
        </w:tc>
        <w:tc>
          <w:tcPr>
            <w:tcW w:w="218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Findings</w:t>
            </w:r>
          </w:p>
        </w:tc>
        <w:tc>
          <w:tcPr>
            <w:tcW w:w="1703"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Suggested Future Research</w:t>
            </w:r>
          </w:p>
        </w:tc>
        <w:tc>
          <w:tcPr>
            <w:tcW w:w="1702" w:type="dxa"/>
          </w:tcPr>
          <w:p w:rsidR="00FC17A0" w:rsidRDefault="00FC17A0" w:rsidP="0069266D">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b/>
                <w:sz w:val="22"/>
                <w:szCs w:val="20"/>
              </w:rPr>
            </w:pPr>
            <w:r>
              <w:rPr>
                <w:rFonts w:cs="Times New Roman"/>
                <w:b/>
                <w:sz w:val="22"/>
                <w:szCs w:val="20"/>
              </w:rPr>
              <w:t>Research Gap (This Study)</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spacing w:line="240" w:lineRule="auto"/>
              <w:jc w:val="left"/>
              <w:rPr>
                <w:rFonts w:cs="Times New Roman"/>
                <w:color w:val="000000"/>
                <w:sz w:val="20"/>
                <w:szCs w:val="20"/>
                <w:lang w:val="en-US"/>
              </w:rPr>
            </w:pPr>
            <w:r>
              <w:rPr>
                <w:rFonts w:cs="Times New Roman"/>
                <w:color w:val="000000"/>
                <w:sz w:val="20"/>
                <w:szCs w:val="20"/>
              </w:rPr>
              <w:t>Alshammari (2021)</w:t>
            </w:r>
          </w:p>
        </w:tc>
        <w:tc>
          <w:tcPr>
            <w:tcW w:w="2081" w:type="dxa"/>
            <w:vAlign w:val="bottom"/>
          </w:tcPr>
          <w:p w:rsidR="00EA5769" w:rsidRPr="00EA5769" w:rsidRDefault="00EA5769" w:rsidP="00EA5769">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Pr>
                <w:rFonts w:cs="Times New Roman"/>
                <w:color w:val="000000"/>
                <w:sz w:val="20"/>
                <w:szCs w:val="20"/>
                <w:lang w:val="en-US"/>
              </w:rPr>
              <w:t>T</w:t>
            </w:r>
            <w:r w:rsidRPr="00EA5769">
              <w:rPr>
                <w:rFonts w:cs="Times New Roman"/>
                <w:color w:val="000000"/>
                <w:sz w:val="20"/>
                <w:szCs w:val="20"/>
                <w:lang w:val="en-US"/>
              </w:rPr>
              <w:t xml:space="preserve">o identify the Kingdom's primary e-health and health informatics application sectors and look at the significance of these domains in relation to the Saudi healthcare system. </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520" w:type="dxa"/>
          </w:tcPr>
          <w:p w:rsidR="00EA5769" w:rsidRPr="00EA5769" w:rsidRDefault="00EA5769" w:rsidP="00EA5769">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A5769">
              <w:rPr>
                <w:rFonts w:cs="Times New Roman"/>
                <w:color w:val="000000"/>
                <w:sz w:val="20"/>
                <w:szCs w:val="20"/>
                <w:lang w:val="en-US"/>
              </w:rPr>
              <w:t>The data was analyzed using theme analysis after secondary data was collected analytically from various research databases and sources.</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vAlign w:val="bottom"/>
          </w:tcPr>
          <w:p w:rsidR="00EA5769" w:rsidRPr="00EA5769" w:rsidRDefault="00EA5769" w:rsidP="00EA5769">
            <w:pPr>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A5769">
              <w:rPr>
                <w:rFonts w:cs="Times New Roman"/>
                <w:color w:val="000000"/>
                <w:sz w:val="20"/>
                <w:szCs w:val="20"/>
                <w:lang w:val="en-US"/>
              </w:rPr>
              <w:t>The amount of EMR adoption in Saudi Arabia at the national level cannot be determined from the literature. Compared to hospitals, private, military, and NGHA institutions have more advanced EMR deployment. Before putting an EMR system in place, tests of computer literacy and English language proficiency should be carried out. Despite the fact that most physicians supported the EMRS, many were worried about its usability and propensity to disrupt workflow.</w:t>
            </w:r>
          </w:p>
          <w:p w:rsidR="00EA5769" w:rsidRPr="00EA5769" w:rsidRDefault="00EA5769" w:rsidP="00EA5769">
            <w:pPr>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A5769">
              <w:rPr>
                <w:rFonts w:cs="Times New Roman"/>
                <w:color w:val="000000"/>
                <w:sz w:val="20"/>
                <w:szCs w:val="20"/>
                <w:lang w:val="en-US"/>
              </w:rPr>
              <w:lastRenderedPageBreak/>
              <w:t xml:space="preserve">. </w:t>
            </w:r>
          </w:p>
          <w:p w:rsidR="00FC17A0" w:rsidRDefault="00FC17A0" w:rsidP="0069266D">
            <w:pPr>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3"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lastRenderedPageBreak/>
              <w:t>The potential of social media to promote patient education and e-health and to bring e-health to isolated and sparsely populated areas</w:t>
            </w:r>
            <w:r>
              <w:rPr>
                <w:rFonts w:cs="Times New Roman"/>
                <w:color w:val="000000"/>
                <w:sz w:val="20"/>
                <w:szCs w:val="20"/>
                <w:lang w:val="en-US"/>
              </w:rPr>
              <w:t>.</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2" w:type="dxa"/>
            <w:vAlign w:val="bottom"/>
          </w:tcPr>
          <w:p w:rsidR="00FC17A0" w:rsidRPr="00EA5769" w:rsidRDefault="00EE3E21" w:rsidP="0069266D">
            <w:pPr>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EE3E21">
              <w:rPr>
                <w:rFonts w:cs="Times New Roman"/>
                <w:color w:val="000000"/>
                <w:sz w:val="20"/>
                <w:szCs w:val="20"/>
                <w:lang w:val="en-US"/>
              </w:rPr>
              <w:t xml:space="preserve">The use and uptake of electronic health technologies </w:t>
            </w:r>
            <w:r w:rsidR="00C66380" w:rsidRPr="00C66380">
              <w:rPr>
                <w:rFonts w:cs="Times New Roman"/>
                <w:color w:val="000000"/>
                <w:sz w:val="20"/>
                <w:szCs w:val="20"/>
                <w:lang w:val="en-US"/>
              </w:rPr>
              <w:t>are hindered by a number of issues, such as poor planning, a lack of trained staff, and low public awareness. Furthermore, not enough study has been done on how e-Health is being adopted in the different parts of the Kingdom.</w:t>
            </w:r>
            <w:r w:rsidR="00FC17A0">
              <w:rPr>
                <w:rFonts w:cs="Times New Roman"/>
                <w:color w:val="000000"/>
                <w:sz w:val="20"/>
                <w:szCs w:val="20"/>
              </w:rPr>
              <w:t xml:space="preserve"> Prescription using e-health services should also be addressed.</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rPr>
                <w:rFonts w:cs="Times New Roman"/>
                <w:color w:val="000000"/>
                <w:sz w:val="20"/>
                <w:szCs w:val="20"/>
              </w:rPr>
            </w:pPr>
            <w:r>
              <w:rPr>
                <w:rFonts w:cs="Times New Roman"/>
                <w:color w:val="000000"/>
                <w:sz w:val="20"/>
                <w:szCs w:val="20"/>
              </w:rPr>
              <w:t>Alsalman et al. (2021)</w:t>
            </w:r>
          </w:p>
        </w:tc>
        <w:tc>
          <w:tcPr>
            <w:tcW w:w="2081" w:type="dxa"/>
            <w:vAlign w:val="bottom"/>
          </w:tcPr>
          <w:p w:rsidR="00FC17A0" w:rsidRPr="00C6638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lang w:val="en-US"/>
              </w:rPr>
            </w:pPr>
            <w:r w:rsidRPr="00EE3E21">
              <w:rPr>
                <w:rFonts w:cs="Times New Roman"/>
                <w:color w:val="2E2E2E"/>
                <w:sz w:val="20"/>
                <w:szCs w:val="20"/>
                <w:lang w:val="en-US"/>
              </w:rPr>
              <w:t>To assess how well hospitals in the Eastern Province of Saudi Arabia are implementing health information systems (HIS), while keeping in mind the following classifications in the arrangement of electronic medical records: Electronic clinical documentation, decision support, outcomes visualization, and bar coding</w:t>
            </w:r>
            <w:r w:rsidR="00FC17A0">
              <w:rPr>
                <w:rFonts w:cs="Times New Roman"/>
                <w:color w:val="2E2E2E"/>
                <w:sz w:val="20"/>
                <w:szCs w:val="20"/>
              </w:rPr>
              <w:t>.</w:t>
            </w:r>
          </w:p>
        </w:tc>
        <w:tc>
          <w:tcPr>
            <w:tcW w:w="1520" w:type="dxa"/>
            <w:vAlign w:val="bottom"/>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lang w:val="en-US"/>
              </w:rPr>
            </w:pPr>
            <w:r>
              <w:rPr>
                <w:rFonts w:cs="Times New Roman"/>
                <w:color w:val="2E2E2E"/>
                <w:sz w:val="20"/>
                <w:szCs w:val="20"/>
                <w:lang w:val="en-US"/>
              </w:rPr>
              <w:t>C</w:t>
            </w:r>
            <w:r w:rsidRPr="00C66380">
              <w:rPr>
                <w:rFonts w:cs="Times New Roman"/>
                <w:color w:val="2E2E2E"/>
                <w:sz w:val="20"/>
                <w:szCs w:val="20"/>
                <w:lang w:val="en-US"/>
              </w:rPr>
              <w:t>ross-sectional study that is quantitative. To gather information on the use of HIS systems, a survey was created and emailed to the HIS departments at 18 hospitals in Saudi Arabia's eastern region.</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rPr>
            </w:pPr>
            <w:r>
              <w:rPr>
                <w:rFonts w:cs="Times New Roman"/>
                <w:color w:val="2E2E2E"/>
                <w:sz w:val="20"/>
                <w:szCs w:val="20"/>
              </w:rPr>
              <w:t>.</w:t>
            </w: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Based on 23 HIS systems split into four categories (electronic clinical documentation, results viewing, decision support, and bar coding), the hospital's overall HIS system implementation score</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2182" w:type="dxa"/>
            <w:vAlign w:val="bottom"/>
          </w:tcPr>
          <w:p w:rsidR="00C66380" w:rsidRPr="00C66380" w:rsidRDefault="00EE3E21" w:rsidP="00C66380">
            <w:pPr>
              <w:jc w:val="left"/>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lang w:val="en-US"/>
              </w:rPr>
            </w:pPr>
            <w:r w:rsidRPr="00EE3E21">
              <w:rPr>
                <w:rFonts w:cs="Times New Roman"/>
                <w:color w:val="2E2E2E"/>
                <w:sz w:val="20"/>
                <w:szCs w:val="20"/>
                <w:lang w:val="en-US"/>
              </w:rPr>
              <w:t xml:space="preserve">Most HIS capabilities pertaining to electronic clinical recordkeeping and viewing categories were fully functional in the majority of institutions. The implementation of half of the decision support features was either full or partial. The bar-coding functions were fully functional in the majority of the </w:t>
            </w:r>
            <w:proofErr w:type="gramStart"/>
            <w:r w:rsidRPr="00EE3E21">
              <w:rPr>
                <w:rFonts w:cs="Times New Roman"/>
                <w:color w:val="2E2E2E"/>
                <w:sz w:val="20"/>
                <w:szCs w:val="20"/>
                <w:lang w:val="en-US"/>
              </w:rPr>
              <w:t>hospitals.</w:t>
            </w:r>
            <w:r w:rsidR="00C66380" w:rsidRPr="00C66380">
              <w:rPr>
                <w:rFonts w:cs="Times New Roman"/>
                <w:color w:val="2E2E2E"/>
                <w:sz w:val="20"/>
                <w:szCs w:val="20"/>
                <w:lang w:val="en-US"/>
              </w:rPr>
              <w:t>.</w:t>
            </w:r>
            <w:proofErr w:type="gramEnd"/>
          </w:p>
          <w:p w:rsidR="00FC17A0" w:rsidRDefault="00FC17A0" w:rsidP="0069266D">
            <w:pPr>
              <w:jc w:val="left"/>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rPr>
            </w:pPr>
          </w:p>
        </w:tc>
        <w:tc>
          <w:tcPr>
            <w:tcW w:w="1703" w:type="dxa"/>
            <w:vAlign w:val="bottom"/>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lang w:val="en-US"/>
              </w:rPr>
            </w:pPr>
            <w:r w:rsidRPr="00C66380">
              <w:rPr>
                <w:rFonts w:cs="Times New Roman"/>
                <w:color w:val="2E2E2E"/>
                <w:sz w:val="20"/>
                <w:szCs w:val="20"/>
                <w:lang w:val="en-US"/>
              </w:rPr>
              <w:t xml:space="preserve">extending this investigation to all Saudi Arabian hospitals and possibly conducting an on-site validation for any that have indicated a high degree of implementation. Furthermore, additional qualitative study is required to address the human barriers that impede the adoption of HIS, including physician reluctance, communication issues, and other organizational </w:t>
            </w:r>
            <w:r w:rsidRPr="00C66380">
              <w:rPr>
                <w:rFonts w:cs="Times New Roman"/>
                <w:color w:val="2E2E2E"/>
                <w:sz w:val="20"/>
                <w:szCs w:val="20"/>
                <w:lang w:val="en-US"/>
              </w:rPr>
              <w:lastRenderedPageBreak/>
              <w:t>culture-related variables that impede the adoption of new technology in healthcare.</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rPr>
            </w:pPr>
          </w:p>
        </w:tc>
        <w:tc>
          <w:tcPr>
            <w:tcW w:w="1702" w:type="dxa"/>
            <w:vAlign w:val="bottom"/>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lang w:val="en-US"/>
              </w:rPr>
            </w:pPr>
            <w:r w:rsidRPr="00C66380">
              <w:rPr>
                <w:rFonts w:cs="Times New Roman"/>
                <w:color w:val="2E2E2E"/>
                <w:sz w:val="20"/>
                <w:szCs w:val="20"/>
                <w:lang w:val="en-US"/>
              </w:rPr>
              <w:lastRenderedPageBreak/>
              <w:t>investigated the use of HIS in a specific geographic area in Saudi Arabia's eastern region. Additionally, since the questionnaire was self-reported, it is impossible to assess the accuracy of the hospital responses.</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2E2E2E"/>
                <w:sz w:val="20"/>
                <w:szCs w:val="20"/>
              </w:rPr>
            </w:pP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rPr>
                <w:rFonts w:cs="Times New Roman"/>
                <w:color w:val="000000"/>
                <w:sz w:val="20"/>
                <w:szCs w:val="20"/>
              </w:rPr>
            </w:pPr>
            <w:r>
              <w:rPr>
                <w:rFonts w:cs="Times New Roman"/>
                <w:color w:val="000000"/>
                <w:sz w:val="20"/>
                <w:szCs w:val="20"/>
              </w:rPr>
              <w:t>Sayed (2019)</w:t>
            </w:r>
          </w:p>
        </w:tc>
        <w:tc>
          <w:tcPr>
            <w:tcW w:w="2081" w:type="dxa"/>
            <w:vAlign w:val="bottom"/>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Pr>
                <w:rFonts w:cs="Times New Roman"/>
                <w:color w:val="000000"/>
                <w:sz w:val="20"/>
                <w:szCs w:val="20"/>
                <w:lang w:val="en-US"/>
              </w:rPr>
              <w:t>T</w:t>
            </w:r>
            <w:r w:rsidRPr="00C66380">
              <w:rPr>
                <w:rFonts w:cs="Times New Roman"/>
                <w:color w:val="000000"/>
                <w:sz w:val="20"/>
                <w:szCs w:val="20"/>
                <w:lang w:val="en-US"/>
              </w:rPr>
              <w:t xml:space="preserve">o evaluate dental healthcare professionals' attitudes, behaviors, and knowledge regarding </w:t>
            </w:r>
            <w:r w:rsidR="00EE3E21">
              <w:rPr>
                <w:rFonts w:cs="Times New Roman"/>
                <w:color w:val="000000"/>
                <w:sz w:val="20"/>
                <w:szCs w:val="20"/>
                <w:lang w:val="en-US"/>
              </w:rPr>
              <w:t>using</w:t>
            </w:r>
            <w:r w:rsidRPr="00C66380">
              <w:rPr>
                <w:rFonts w:cs="Times New Roman"/>
                <w:color w:val="000000"/>
                <w:sz w:val="20"/>
                <w:szCs w:val="20"/>
                <w:lang w:val="en-US"/>
              </w:rPr>
              <w:t xml:space="preserve"> electronic health record systems in Saudi Arabia's healthcare system.</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520" w:type="dxa"/>
            <w:vAlign w:val="bottom"/>
          </w:tcPr>
          <w:p w:rsidR="00C66380" w:rsidRPr="00C66380" w:rsidRDefault="00EE3E21"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Pr>
                <w:rFonts w:cs="Times New Roman"/>
                <w:color w:val="000000"/>
                <w:sz w:val="20"/>
                <w:szCs w:val="20"/>
                <w:lang w:val="en-US"/>
              </w:rPr>
              <w:t>C</w:t>
            </w:r>
            <w:r w:rsidR="00C66380" w:rsidRPr="00C66380">
              <w:rPr>
                <w:rFonts w:cs="Times New Roman"/>
                <w:color w:val="000000"/>
                <w:sz w:val="20"/>
                <w:szCs w:val="20"/>
                <w:lang w:val="en-US"/>
              </w:rPr>
              <w:t xml:space="preserve">ross-sectional survey instrument was created to gather information from dental clinics spread across five different locations. Participants were given a pre-made quantitative questionnaire that was </w:t>
            </w:r>
            <w:r>
              <w:rPr>
                <w:rFonts w:cs="Times New Roman"/>
                <w:color w:val="000000"/>
                <w:sz w:val="20"/>
                <w:szCs w:val="20"/>
                <w:lang w:val="en-US"/>
              </w:rPr>
              <w:t>found</w:t>
            </w:r>
            <w:r w:rsidR="00C66380" w:rsidRPr="00C66380">
              <w:rPr>
                <w:rFonts w:cs="Times New Roman"/>
                <w:color w:val="000000"/>
                <w:sz w:val="20"/>
                <w:szCs w:val="20"/>
                <w:lang w:val="en-US"/>
              </w:rPr>
              <w:t xml:space="preserve"> in electronic format. </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Geographical region</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EHR will be better than paper records, it will be worth the time and effort required and will provide better healthcare quality</w:t>
            </w:r>
          </w:p>
        </w:tc>
        <w:tc>
          <w:tcPr>
            <w:tcW w:w="2182" w:type="dxa"/>
            <w:vAlign w:val="bottom"/>
          </w:tcPr>
          <w:p w:rsidR="00FC17A0" w:rsidRDefault="00FC17A0" w:rsidP="0069266D">
            <w:pPr>
              <w:jc w:val="left"/>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Most respondents had positive attitude towards EHR implementation in terms of it being better than traditional paper records, decreasing workload, and providing better healthcare quality for patients. EHR will also help practitioners to analyse the medical status alerts for patients, and to maintain records of drug histories and allergies.</w:t>
            </w:r>
          </w:p>
        </w:tc>
        <w:tc>
          <w:tcPr>
            <w:tcW w:w="1703" w:type="dxa"/>
            <w:vAlign w:val="bottom"/>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Implication of the study findings in other geographical regions. Studies must be conducted to determine the association between patients and their knowledge regarding EHRs.</w:t>
            </w:r>
          </w:p>
        </w:tc>
        <w:tc>
          <w:tcPr>
            <w:tcW w:w="170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Management of human barriers related to staff compliance and lack of sufficient staff support.</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r>
              <w:rPr>
                <w:rFonts w:cs="Times New Roman"/>
                <w:color w:val="000000"/>
                <w:sz w:val="20"/>
                <w:szCs w:val="20"/>
              </w:rPr>
              <w:lastRenderedPageBreak/>
              <w:t>Bah et al. (2011)</w:t>
            </w:r>
          </w:p>
        </w:tc>
        <w:tc>
          <w:tcPr>
            <w:tcW w:w="2081" w:type="dxa"/>
            <w:vAlign w:val="bottom"/>
          </w:tcPr>
          <w:p w:rsidR="00FC17A0" w:rsidRPr="00C66380" w:rsidRDefault="00C66380" w:rsidP="0069266D">
            <w:pPr>
              <w:cnfStyle w:val="000000000000" w:firstRow="0" w:lastRow="0" w:firstColumn="0" w:lastColumn="0" w:oddVBand="0" w:evenVBand="0" w:oddHBand="0" w:evenHBand="0" w:firstRowFirstColumn="0" w:firstRowLastColumn="0" w:lastRowFirstColumn="0" w:lastRowLastColumn="0"/>
              <w:rPr>
                <w:rFonts w:cs="Times New Roman"/>
                <w:color w:val="212121"/>
                <w:sz w:val="20"/>
                <w:szCs w:val="20"/>
                <w:lang w:val="en-US"/>
              </w:rPr>
            </w:pPr>
            <w:r w:rsidRPr="00C66380">
              <w:rPr>
                <w:rFonts w:cs="Times New Roman"/>
                <w:color w:val="212121"/>
                <w:sz w:val="20"/>
                <w:szCs w:val="20"/>
                <w:lang w:val="en-US"/>
              </w:rPr>
              <w:t>To establish a website that will act as a platform for discussion on the advancement of electronic health records (EHRs) in Saudi Arabia and to ascertain the degree and scope of EHR use in government-affiliated institutions in the Eastern Province</w:t>
            </w:r>
            <w:r w:rsidR="00FC17A0">
              <w:rPr>
                <w:rFonts w:cs="Times New Roman"/>
                <w:color w:val="212121"/>
                <w:sz w:val="20"/>
                <w:szCs w:val="20"/>
              </w:rPr>
              <w:t>.</w:t>
            </w: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Quantitative online survey using a cross-sectional methodology </w:t>
            </w: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Availability and usage of different EHR functions </w:t>
            </w:r>
          </w:p>
        </w:tc>
        <w:tc>
          <w:tcPr>
            <w:tcW w:w="218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Only 16% of government hospitals had EHRs in Eastern region. EHR systems of all hospitals were equipped with decision support functions, order entry functions, documentation functions, and patient referral systems, but did not have adequate communication functions</w:t>
            </w:r>
          </w:p>
        </w:tc>
        <w:tc>
          <w:tcPr>
            <w:tcW w:w="170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Effect of decreased physician workload and increased patient information on implementation of EHR and their utilization</w:t>
            </w:r>
          </w:p>
        </w:tc>
        <w:tc>
          <w:tcPr>
            <w:tcW w:w="170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Underutilization of EHRs due to poor knowledge, poor cultural valuation of patients' right and autonomy, and poor patient education</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bottom"/>
          </w:tcPr>
          <w:p w:rsidR="00FC17A0" w:rsidRDefault="00FC17A0" w:rsidP="0069266D">
            <w:pPr>
              <w:jc w:val="left"/>
              <w:rPr>
                <w:rFonts w:cs="Times New Roman"/>
                <w:color w:val="212121"/>
                <w:sz w:val="20"/>
                <w:szCs w:val="20"/>
              </w:rPr>
            </w:pPr>
            <w:r>
              <w:rPr>
                <w:rFonts w:cs="Times New Roman"/>
                <w:color w:val="212121"/>
                <w:sz w:val="20"/>
                <w:szCs w:val="20"/>
              </w:rPr>
              <w:t xml:space="preserve">Alkadi &amp; </w:t>
            </w:r>
            <w:proofErr w:type="spellStart"/>
            <w:r>
              <w:rPr>
                <w:rFonts w:cs="Times New Roman"/>
                <w:color w:val="212121"/>
                <w:sz w:val="20"/>
                <w:szCs w:val="20"/>
              </w:rPr>
              <w:t>Roudsari</w:t>
            </w:r>
            <w:proofErr w:type="spellEnd"/>
            <w:r>
              <w:rPr>
                <w:rFonts w:cs="Times New Roman"/>
                <w:color w:val="212121"/>
                <w:sz w:val="20"/>
                <w:szCs w:val="20"/>
              </w:rPr>
              <w:t xml:space="preserve"> (2018)</w:t>
            </w:r>
          </w:p>
        </w:tc>
        <w:tc>
          <w:tcPr>
            <w:tcW w:w="2081"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To develop, implement, and measure impact of a Telecare solution and its integration into existing NGHA Hospital Information Systems (HIS)’s for diabetes management in Saudi Arabia</w:t>
            </w: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Quasi-experimental study</w:t>
            </w: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High level of participating patients reported drop in HbA1c levels after using </w:t>
            </w:r>
            <w:proofErr w:type="spellStart"/>
            <w:r>
              <w:rPr>
                <w:rFonts w:cs="Times New Roman"/>
                <w:color w:val="000000"/>
                <w:sz w:val="20"/>
                <w:szCs w:val="20"/>
              </w:rPr>
              <w:t>TeMAD</w:t>
            </w:r>
            <w:proofErr w:type="spellEnd"/>
          </w:p>
        </w:tc>
        <w:tc>
          <w:tcPr>
            <w:tcW w:w="170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Integrating </w:t>
            </w:r>
            <w:proofErr w:type="spellStart"/>
            <w:r>
              <w:rPr>
                <w:rFonts w:cs="Times New Roman"/>
                <w:color w:val="000000"/>
                <w:sz w:val="20"/>
                <w:szCs w:val="20"/>
              </w:rPr>
              <w:t>TeMAD</w:t>
            </w:r>
            <w:proofErr w:type="spellEnd"/>
            <w:r>
              <w:rPr>
                <w:rFonts w:cs="Times New Roman"/>
                <w:color w:val="000000"/>
                <w:sz w:val="20"/>
                <w:szCs w:val="20"/>
              </w:rPr>
              <w:t xml:space="preserve"> in rural primary healthcare clinics, incorporating telecare use in smartphone, using telecare for other chronic diseases, combining telecare solutions with social media</w:t>
            </w:r>
          </w:p>
        </w:tc>
        <w:tc>
          <w:tcPr>
            <w:tcW w:w="170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Quasi-experimental design, needs to be evaluated in larger studies, requires integrated data from other regions</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proofErr w:type="spellStart"/>
            <w:r>
              <w:rPr>
                <w:rFonts w:cs="Times New Roman"/>
                <w:color w:val="000000"/>
                <w:sz w:val="20"/>
                <w:szCs w:val="20"/>
              </w:rPr>
              <w:lastRenderedPageBreak/>
              <w:t>Almaiman</w:t>
            </w:r>
            <w:proofErr w:type="spellEnd"/>
            <w:r>
              <w:rPr>
                <w:rFonts w:cs="Times New Roman"/>
                <w:color w:val="000000"/>
                <w:sz w:val="20"/>
                <w:szCs w:val="20"/>
              </w:rPr>
              <w:t xml:space="preserve"> et al. (2014)</w:t>
            </w:r>
          </w:p>
        </w:tc>
        <w:tc>
          <w:tcPr>
            <w:tcW w:w="2081"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To find out how primary healthcare centers (PHCCs) use HIT</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520"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Key stakeholders' interviews and a literature study</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N/A</w:t>
            </w:r>
          </w:p>
        </w:tc>
        <w:tc>
          <w:tcPr>
            <w:tcW w:w="218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use of health information technology in Saudi PHCCs is rising</w:t>
            </w:r>
          </w:p>
        </w:tc>
        <w:tc>
          <w:tcPr>
            <w:tcW w:w="1703"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 xml:space="preserve">Investigate and identify workable substitutes for providing e-health services, paying particular attention to removing obstacles that prevent PHCCs from utilizing </w:t>
            </w:r>
            <w:proofErr w:type="spellStart"/>
            <w:r w:rsidRPr="00C66380">
              <w:rPr>
                <w:rFonts w:cs="Times New Roman"/>
                <w:color w:val="000000"/>
                <w:sz w:val="20"/>
                <w:szCs w:val="20"/>
                <w:lang w:val="en-US"/>
              </w:rPr>
              <w:t>eHIS</w:t>
            </w:r>
            <w:proofErr w:type="spellEnd"/>
            <w:r w:rsidRPr="00C66380">
              <w:rPr>
                <w:rFonts w:cs="Times New Roman"/>
                <w:color w:val="000000"/>
                <w:sz w:val="20"/>
                <w:szCs w:val="20"/>
                <w:lang w:val="en-US"/>
              </w:rPr>
              <w:t>.</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Use of HIS is still in early stages</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r>
              <w:rPr>
                <w:rFonts w:cs="Times New Roman"/>
                <w:color w:val="000000"/>
                <w:sz w:val="20"/>
                <w:szCs w:val="20"/>
              </w:rPr>
              <w:t>Zaman et al. (2018)</w:t>
            </w:r>
          </w:p>
        </w:tc>
        <w:tc>
          <w:tcPr>
            <w:tcW w:w="2081"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To evaluate the state of e-health utilization in Makkah City hospitals, the effectiveness of e-health in providing quality healthcare in Saudi Arabia, and the difficulties or obstacles in putting e-health services into place in Saudi Arabia</w:t>
            </w:r>
            <w:r>
              <w:rPr>
                <w:rFonts w:cs="Times New Roman"/>
                <w:color w:val="000000"/>
                <w:sz w:val="20"/>
                <w:szCs w:val="20"/>
              </w:rPr>
              <w:t>.</w:t>
            </w: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 xml:space="preserve">Randomized study from 3 hospitals in Makkah with data collection from administrative and medical staff in the hospitals, especially those staff who handle the daily operations of </w:t>
            </w:r>
            <w:r>
              <w:rPr>
                <w:rFonts w:cs="Times New Roman"/>
                <w:color w:val="000000"/>
                <w:sz w:val="20"/>
                <w:szCs w:val="20"/>
              </w:rPr>
              <w:lastRenderedPageBreak/>
              <w:t>delivering healthcare services to the patients</w:t>
            </w: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lastRenderedPageBreak/>
              <w:t>Implementation of e-health system</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Perception of staff in implementing e-health</w:t>
            </w:r>
          </w:p>
        </w:tc>
        <w:tc>
          <w:tcPr>
            <w:tcW w:w="2182"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 xml:space="preserve">King Faisal Hospital (KFH), King Abdullah Medical City (KAMC), and Al Noor Specialist Hospital all use e-health, albeit in various ways. Aside from the medical staff's lack of computer and technical skills, the primary obstacles are the expense and proficiency of such cutting-edge </w:t>
            </w:r>
            <w:r w:rsidRPr="00EE3E21">
              <w:rPr>
                <w:rFonts w:cs="Times New Roman"/>
                <w:color w:val="000000"/>
                <w:sz w:val="20"/>
                <w:szCs w:val="20"/>
              </w:rPr>
              <w:lastRenderedPageBreak/>
              <w:t>information technology systems.</w:t>
            </w:r>
          </w:p>
        </w:tc>
        <w:tc>
          <w:tcPr>
            <w:tcW w:w="170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lastRenderedPageBreak/>
              <w:t>Implementation of HIS systems in local language or improving English literacy of staff, as well as scientific qualification and required training</w:t>
            </w:r>
          </w:p>
        </w:tc>
        <w:tc>
          <w:tcPr>
            <w:tcW w:w="1702"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The e-health system's implementation, personnel training and skill levels, and attitudes toward the system were the main obstacles.</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r>
              <w:rPr>
                <w:rFonts w:cs="Times New Roman"/>
                <w:color w:val="000000"/>
                <w:sz w:val="20"/>
                <w:szCs w:val="20"/>
              </w:rPr>
              <w:lastRenderedPageBreak/>
              <w:t>Aldosari (2014)</w:t>
            </w:r>
          </w:p>
        </w:tc>
        <w:tc>
          <w:tcPr>
            <w:tcW w:w="2081"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To ascertain the prevalence, extent, and factors influencing the adoption of hospital electronic health record (EHR) systems in Riyadh, Saudi Arabia</w:t>
            </w:r>
            <w:r w:rsidR="00FC17A0">
              <w:rPr>
                <w:rFonts w:cs="Times New Roman"/>
                <w:color w:val="000000"/>
                <w:sz w:val="20"/>
                <w:szCs w:val="20"/>
              </w:rPr>
              <w:t>.</w:t>
            </w: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Quantitative survey of respondents from 22 hospitals in Riyadh. Thirty-seven items were graded on a three-point scale of preparedness/completion</w:t>
            </w:r>
          </w:p>
        </w:tc>
        <w:tc>
          <w:tcPr>
            <w:tcW w:w="2073"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Hospital ownership, size, and degree of care</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EHR system development</w:t>
            </w:r>
          </w:p>
        </w:tc>
        <w:tc>
          <w:tcPr>
            <w:tcW w:w="2182" w:type="dxa"/>
          </w:tcPr>
          <w:p w:rsidR="00FC17A0" w:rsidRDefault="00EE3E2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EE3E21">
              <w:rPr>
                <w:rFonts w:cs="Times New Roman"/>
                <w:color w:val="000000"/>
                <w:sz w:val="20"/>
                <w:szCs w:val="20"/>
              </w:rPr>
              <w:t>Three hospitals had not adopted an EHR system, eight had systems in the works, and eleven had fully operational EHR systems in place. In the 19 adopting hospitals, sixteen distinct systems were in operation</w:t>
            </w:r>
            <w:r w:rsidR="00FC17A0">
              <w:rPr>
                <w:rFonts w:cs="Times New Roman"/>
                <w:color w:val="000000"/>
                <w:sz w:val="20"/>
                <w:szCs w:val="20"/>
              </w:rPr>
              <w:t xml:space="preserve">. </w:t>
            </w:r>
            <w:r w:rsidRPr="00EE3E21">
              <w:rPr>
                <w:rFonts w:cs="Times New Roman"/>
                <w:color w:val="000000"/>
                <w:sz w:val="20"/>
                <w:szCs w:val="20"/>
              </w:rPr>
              <w:t xml:space="preserve">Hospital size had a positive correlation with different adoption levels, but the level of care (secondary versus tertiary) had a negative correlation. Depending on the specific adoption phase under consideration, the implications of hospital ownership (private versus nonprofit) and the makeup of the </w:t>
            </w:r>
            <w:r w:rsidRPr="00EE3E21">
              <w:rPr>
                <w:rFonts w:cs="Times New Roman"/>
                <w:color w:val="000000"/>
                <w:sz w:val="20"/>
                <w:szCs w:val="20"/>
              </w:rPr>
              <w:lastRenderedPageBreak/>
              <w:t>development team varied</w:t>
            </w:r>
            <w:r w:rsidR="00FC17A0">
              <w:rPr>
                <w:rFonts w:cs="Times New Roman"/>
                <w:color w:val="000000"/>
                <w:sz w:val="20"/>
                <w:szCs w:val="20"/>
              </w:rPr>
              <w:t>.</w:t>
            </w:r>
          </w:p>
        </w:tc>
        <w:tc>
          <w:tcPr>
            <w:tcW w:w="1703" w:type="dxa"/>
          </w:tcPr>
          <w:p w:rsidR="00FC17A0" w:rsidRDefault="009C505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9C5051">
              <w:rPr>
                <w:rFonts w:cs="Times New Roman"/>
                <w:color w:val="000000"/>
                <w:sz w:val="20"/>
                <w:szCs w:val="20"/>
              </w:rPr>
              <w:lastRenderedPageBreak/>
              <w:t>When evaluating the level of adoption and its determinants, a multistage adoption method and multi-item assessments are required.</w:t>
            </w:r>
          </w:p>
        </w:tc>
        <w:tc>
          <w:tcPr>
            <w:tcW w:w="1702"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Physician resistance and user acceptance. Physician involvement and participation in IT project</w:t>
            </w: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r>
              <w:rPr>
                <w:rFonts w:cs="Times New Roman"/>
                <w:color w:val="000000"/>
                <w:sz w:val="20"/>
                <w:szCs w:val="20"/>
              </w:rPr>
              <w:t>Wali et al. (2020)</w:t>
            </w:r>
          </w:p>
        </w:tc>
        <w:tc>
          <w:tcPr>
            <w:tcW w:w="2081"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Pr>
                <w:rFonts w:cs="Times New Roman"/>
                <w:color w:val="000000"/>
                <w:sz w:val="20"/>
                <w:szCs w:val="20"/>
                <w:lang w:val="en-US"/>
              </w:rPr>
              <w:t>T</w:t>
            </w:r>
            <w:r w:rsidRPr="00C66380">
              <w:rPr>
                <w:rFonts w:cs="Times New Roman"/>
                <w:color w:val="000000"/>
                <w:sz w:val="20"/>
                <w:szCs w:val="20"/>
                <w:lang w:val="en-US"/>
              </w:rPr>
              <w:t>o investigate how satisfied patients are with the electronic medical record (EMR) in comparison to the paper medical record (PMR) of five primary healthcare centers located in Saudi Arabia's western region.</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Cross-sectional survey</w:t>
            </w:r>
          </w:p>
        </w:tc>
        <w:tc>
          <w:tcPr>
            <w:tcW w:w="2073" w:type="dxa"/>
          </w:tcPr>
          <w:p w:rsidR="00FC17A0" w:rsidRDefault="009C505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9C5051">
              <w:rPr>
                <w:rFonts w:cs="Times New Roman"/>
                <w:color w:val="000000"/>
                <w:sz w:val="20"/>
                <w:szCs w:val="20"/>
              </w:rPr>
              <w:t>Age, sex, educational attainment, and the quantity of annual visits to the PHC</w:t>
            </w:r>
          </w:p>
        </w:tc>
        <w:tc>
          <w:tcPr>
            <w:tcW w:w="1243"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Patient satisfaction with the electronic medical record and the caliber of services received during the visit (waiting time, enhanced medical services, prescription procedure, scheduling system, and referral system)</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2182" w:type="dxa"/>
          </w:tcPr>
          <w:p w:rsidR="00FC17A0" w:rsidRDefault="009C5051"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9C5051">
              <w:rPr>
                <w:rFonts w:cs="Times New Roman"/>
                <w:color w:val="000000"/>
                <w:sz w:val="20"/>
                <w:szCs w:val="20"/>
                <w:lang w:val="en-US"/>
              </w:rPr>
              <w:t>Patient satisfaction with the EMR was statistically significant when compared to the PMR (3.7241 vs. 3.6919, p &lt; 0.001). Overall satisfaction with the EMR's implementation was shown by a number of factors, including more physician attention during the clinical consultation (82.3%), more explanation of tests and medication (85.8%), more time spent with the patient during the consultation (80.4%), and more active listening by the doctor (77.3%).</w:t>
            </w:r>
          </w:p>
        </w:tc>
        <w:tc>
          <w:tcPr>
            <w:tcW w:w="170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Similar study in tertiary care setting</w:t>
            </w:r>
          </w:p>
        </w:tc>
        <w:tc>
          <w:tcPr>
            <w:tcW w:w="1702"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Disparity between the study's conduct period and the EMR's implementation over PMR</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FC17A0" w:rsidTr="0069266D">
        <w:trPr>
          <w:trHeight w:val="226"/>
        </w:trPr>
        <w:tc>
          <w:tcPr>
            <w:cnfStyle w:val="001000000000" w:firstRow="0" w:lastRow="0" w:firstColumn="1" w:lastColumn="0" w:oddVBand="0" w:evenVBand="0" w:oddHBand="0" w:evenHBand="0" w:firstRowFirstColumn="0" w:firstRowLastColumn="0" w:lastRowFirstColumn="0" w:lastRowLastColumn="0"/>
            <w:tcW w:w="1132" w:type="dxa"/>
            <w:vAlign w:val="center"/>
          </w:tcPr>
          <w:p w:rsidR="00FC17A0" w:rsidRDefault="00FC17A0" w:rsidP="0069266D">
            <w:pPr>
              <w:jc w:val="left"/>
              <w:rPr>
                <w:rFonts w:cs="Times New Roman"/>
                <w:color w:val="000000"/>
                <w:sz w:val="20"/>
                <w:szCs w:val="20"/>
              </w:rPr>
            </w:pPr>
            <w:r>
              <w:rPr>
                <w:rFonts w:cs="Times New Roman"/>
                <w:color w:val="000000"/>
                <w:sz w:val="20"/>
                <w:szCs w:val="20"/>
              </w:rPr>
              <w:lastRenderedPageBreak/>
              <w:t xml:space="preserve">Shaker, Farooq &amp; </w:t>
            </w:r>
            <w:proofErr w:type="spellStart"/>
            <w:r>
              <w:rPr>
                <w:rFonts w:cs="Times New Roman"/>
                <w:color w:val="000000"/>
                <w:sz w:val="20"/>
                <w:szCs w:val="20"/>
              </w:rPr>
              <w:t>Dhafar</w:t>
            </w:r>
            <w:proofErr w:type="spellEnd"/>
            <w:r>
              <w:rPr>
                <w:rFonts w:cs="Times New Roman"/>
                <w:color w:val="000000"/>
                <w:sz w:val="20"/>
                <w:szCs w:val="20"/>
              </w:rPr>
              <w:t xml:space="preserve"> (2015)</w:t>
            </w:r>
          </w:p>
        </w:tc>
        <w:tc>
          <w:tcPr>
            <w:tcW w:w="2081"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To ascertain how doctors view the electronic medical record system (EMRS) in relation to its efficiency in order to enhance its features and benefits</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520"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Cross-sectional survey</w:t>
            </w:r>
          </w:p>
        </w:tc>
        <w:tc>
          <w:tcPr>
            <w:tcW w:w="207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Age, gender, nationality, physician category</w:t>
            </w:r>
          </w:p>
        </w:tc>
        <w:tc>
          <w:tcPr>
            <w:tcW w:w="1243" w:type="dxa"/>
          </w:tcPr>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Perception of physicians regarding EMR</w:t>
            </w:r>
          </w:p>
        </w:tc>
        <w:tc>
          <w:tcPr>
            <w:tcW w:w="2182"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While workflow disruption and ease of use with reference to PMR received bad assessments, the use of computers for practicing medicine and EMRS to enhance practice quality was seen favorably. 52.8% of respondents said they had a positive overall impression of EMRS.</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3"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An additional comparative usability assessment of various EMRSs by end users in various Makkah region scenarios. Analyze the existing state of perception about the EMRS in light of previous initiatives taken by the directorate general office to enhance perception and make a comparison with the current study.</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1702" w:type="dxa"/>
          </w:tcPr>
          <w:p w:rsidR="00C66380" w:rsidRPr="00C66380" w:rsidRDefault="00C66380" w:rsidP="00C66380">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C66380">
              <w:rPr>
                <w:rFonts w:cs="Times New Roman"/>
                <w:color w:val="000000"/>
                <w:sz w:val="20"/>
                <w:szCs w:val="20"/>
                <w:lang w:val="en-US"/>
              </w:rPr>
              <w:t>EMR vs. PMR comfort level. Collaboration among medical personnel to create a reliable and consistent EMR</w:t>
            </w:r>
          </w:p>
          <w:p w:rsidR="00FC17A0" w:rsidRDefault="00FC17A0" w:rsidP="0069266D">
            <w:pP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bl>
    <w:p w:rsidR="00FC17A0" w:rsidRDefault="00FC17A0" w:rsidP="00FC17A0">
      <w:pPr>
        <w:spacing w:line="259" w:lineRule="auto"/>
        <w:jc w:val="left"/>
      </w:pPr>
    </w:p>
    <w:p w:rsidR="00FC17A0" w:rsidRDefault="00FC17A0" w:rsidP="00FC17A0">
      <w:pPr>
        <w:spacing w:line="259" w:lineRule="auto"/>
        <w:jc w:val="left"/>
        <w:sectPr w:rsidR="00FC17A0" w:rsidSect="00FC17A0">
          <w:pgSz w:w="15840" w:h="12240" w:orient="landscape"/>
          <w:pgMar w:top="1440" w:right="1440" w:bottom="1440" w:left="1440" w:header="720" w:footer="720" w:gutter="0"/>
          <w:cols w:space="720"/>
          <w:docGrid w:linePitch="360"/>
        </w:sectPr>
      </w:pPr>
    </w:p>
    <w:p w:rsidR="00FC17A0" w:rsidRDefault="00FC17A0" w:rsidP="00FC17A0">
      <w:pPr>
        <w:pStyle w:val="Heading3"/>
      </w:pPr>
      <w:r>
        <w:lastRenderedPageBreak/>
        <w:t>2.8. HYPOTHESIS DEVELOPMENT</w:t>
      </w:r>
    </w:p>
    <w:p w:rsidR="00FC17A0" w:rsidRDefault="00FC17A0" w:rsidP="00FC17A0">
      <w:r>
        <w:t>Based on our study rationale, as well as study variables, hypothesis development was carried out to create the research model. The hypothesis development process deals with several factors which can directly or indirectly influence patient satisfaction, which are described below:</w:t>
      </w:r>
    </w:p>
    <w:p w:rsidR="00FC17A0" w:rsidRDefault="00FC17A0" w:rsidP="00FC17A0">
      <w:pPr>
        <w:pStyle w:val="ListParagraph"/>
        <w:numPr>
          <w:ilvl w:val="0"/>
          <w:numId w:val="4"/>
        </w:numPr>
      </w:pPr>
      <w:r>
        <w:rPr>
          <w:b/>
        </w:rPr>
        <w:t>OPD services:</w:t>
      </w:r>
      <w:r>
        <w:t xml:space="preserve"> These are further distinguished into doctor services, nursing services, registration and administrative services, and waiting times.</w:t>
      </w:r>
    </w:p>
    <w:p w:rsidR="00FC17A0" w:rsidRDefault="00FC17A0" w:rsidP="00FC17A0">
      <w:pPr>
        <w:pStyle w:val="ListParagraph"/>
        <w:numPr>
          <w:ilvl w:val="1"/>
          <w:numId w:val="4"/>
        </w:numPr>
      </w:pPr>
      <w:r>
        <w:rPr>
          <w:b/>
        </w:rPr>
        <w:t>Doctor’s Services</w:t>
      </w:r>
    </w:p>
    <w:p w:rsidR="00FC17A0" w:rsidRDefault="00C66380" w:rsidP="00FC17A0">
      <w:pPr>
        <w:pStyle w:val="ListParagraph"/>
        <w:ind w:left="1440"/>
      </w:pPr>
      <w:r w:rsidRPr="00C66380">
        <w:t xml:space="preserve">This relates to the patient's experience with the </w:t>
      </w:r>
      <w:proofErr w:type="spellStart"/>
      <w:r w:rsidRPr="00C66380">
        <w:t>caliber</w:t>
      </w:r>
      <w:proofErr w:type="spellEnd"/>
      <w:r w:rsidRPr="00C66380">
        <w:t xml:space="preserve"> of care provided by the concerned doctors. The degree of patient satisfaction is greatly impacted by the substantial handling that occurs in the connection between doctors and patients (Hussain et al., 2019).</w:t>
      </w:r>
    </w:p>
    <w:p w:rsidR="00FC17A0" w:rsidRDefault="00FC17A0" w:rsidP="00FC17A0">
      <w:pPr>
        <w:pStyle w:val="ListParagraph"/>
        <w:ind w:left="1440"/>
        <w:rPr>
          <w:rStyle w:val="html-italic"/>
          <w:b/>
          <w:i/>
          <w:iCs/>
        </w:rPr>
      </w:pPr>
      <w:r>
        <w:rPr>
          <w:b/>
        </w:rPr>
        <w:t>Hypothesis 1 (H1): </w:t>
      </w:r>
      <w:r>
        <w:rPr>
          <w:rStyle w:val="html-italic"/>
          <w:b/>
          <w:i/>
          <w:iCs/>
        </w:rPr>
        <w:t>The better the doctor services (DS), the higher the patient satisfaction.</w:t>
      </w:r>
    </w:p>
    <w:p w:rsidR="00FC17A0" w:rsidRDefault="00FC17A0" w:rsidP="00FC17A0">
      <w:pPr>
        <w:pStyle w:val="ListParagraph"/>
        <w:numPr>
          <w:ilvl w:val="1"/>
          <w:numId w:val="4"/>
        </w:numPr>
        <w:rPr>
          <w:b/>
        </w:rPr>
      </w:pPr>
      <w:r>
        <w:rPr>
          <w:b/>
        </w:rPr>
        <w:t>Nursing Services</w:t>
      </w:r>
    </w:p>
    <w:p w:rsidR="00C66380" w:rsidRDefault="00A41169" w:rsidP="00FC17A0">
      <w:pPr>
        <w:pStyle w:val="ListParagraph"/>
        <w:ind w:left="1440"/>
      </w:pPr>
      <w:r>
        <w:t>S</w:t>
      </w:r>
      <w:r w:rsidR="00C66380" w:rsidRPr="00C66380">
        <w:t xml:space="preserve">ervices provided by nurses throughout a patient's hospital stay is a matter of patient perspective. </w:t>
      </w:r>
      <w:r w:rsidR="008F08D5">
        <w:t>The</w:t>
      </w:r>
      <w:r w:rsidR="00C66380" w:rsidRPr="00C66380">
        <w:t xml:space="preserve"> most important aspects of the healthcare industry </w:t>
      </w:r>
      <w:proofErr w:type="gramStart"/>
      <w:r w:rsidR="00C66380" w:rsidRPr="00C66380">
        <w:t>is</w:t>
      </w:r>
      <w:proofErr w:type="gramEnd"/>
      <w:r w:rsidR="00C66380" w:rsidRPr="00C66380">
        <w:t xml:space="preserve"> nursing care. The most significant determinant of hospital care has been identified as the personal quality of nursing care (PQNC) in relation to health care quality (Carman, 2000).</w:t>
      </w:r>
    </w:p>
    <w:p w:rsidR="00FC17A0" w:rsidRDefault="00FC17A0" w:rsidP="00FC17A0">
      <w:pPr>
        <w:pStyle w:val="ListParagraph"/>
        <w:ind w:left="1440"/>
        <w:rPr>
          <w:rStyle w:val="html-italic"/>
          <w:b/>
          <w:i/>
          <w:iCs/>
        </w:rPr>
      </w:pPr>
      <w:r>
        <w:rPr>
          <w:b/>
        </w:rPr>
        <w:t>Hypothesis 2 (H2): </w:t>
      </w:r>
      <w:r>
        <w:rPr>
          <w:rStyle w:val="html-italic"/>
          <w:b/>
          <w:i/>
          <w:iCs/>
        </w:rPr>
        <w:t>The better the nurses services (NS), the higher the patient satisfaction.</w:t>
      </w:r>
    </w:p>
    <w:p w:rsidR="00FC17A0" w:rsidRDefault="00FC17A0" w:rsidP="00FC17A0">
      <w:pPr>
        <w:pStyle w:val="ListParagraph"/>
        <w:numPr>
          <w:ilvl w:val="1"/>
          <w:numId w:val="4"/>
        </w:numPr>
        <w:rPr>
          <w:b/>
        </w:rPr>
      </w:pPr>
      <w:r>
        <w:rPr>
          <w:b/>
        </w:rPr>
        <w:t>Registration and Administrative Procedures</w:t>
      </w:r>
    </w:p>
    <w:p w:rsidR="00C66380" w:rsidRDefault="00C66380" w:rsidP="00FC17A0">
      <w:pPr>
        <w:pStyle w:val="ListParagraph"/>
        <w:ind w:left="1440"/>
      </w:pPr>
      <w:r w:rsidRPr="00C66380">
        <w:t xml:space="preserve">During a patient's hospital stay, hospital administrative procedures (HAP) include the registration, admission, and discharge processes. At various points during the patient's hospital stay, the administrative delay is considered a significant factor in the provision of services. Patients become irate and react negatively when services are provided with unreasonable delays (Diaz &amp; Ruiz, 2002). </w:t>
      </w:r>
    </w:p>
    <w:p w:rsidR="00C66380" w:rsidRDefault="00FC17A0" w:rsidP="00C66380">
      <w:pPr>
        <w:pStyle w:val="ListParagraph"/>
        <w:ind w:left="1440"/>
        <w:rPr>
          <w:rStyle w:val="html-italic"/>
          <w:b/>
          <w:i/>
          <w:iCs/>
        </w:rPr>
      </w:pPr>
      <w:r>
        <w:rPr>
          <w:b/>
        </w:rPr>
        <w:t>Hypothesis 3 (H3): </w:t>
      </w:r>
      <w:r>
        <w:rPr>
          <w:rStyle w:val="html-italic"/>
          <w:b/>
          <w:i/>
          <w:iCs/>
        </w:rPr>
        <w:t>The easier the registration and administrative procedures, the higher the patient satisfaction.</w:t>
      </w:r>
    </w:p>
    <w:p w:rsidR="00C66380" w:rsidRPr="00C66380" w:rsidRDefault="00FC17A0" w:rsidP="00C66380">
      <w:pPr>
        <w:pStyle w:val="ListParagraph"/>
        <w:numPr>
          <w:ilvl w:val="0"/>
          <w:numId w:val="20"/>
        </w:numPr>
        <w:rPr>
          <w:b/>
        </w:rPr>
      </w:pPr>
      <w:r w:rsidRPr="00C66380">
        <w:rPr>
          <w:b/>
        </w:rPr>
        <w:t>Waiting Times</w:t>
      </w:r>
    </w:p>
    <w:p w:rsidR="005513FB" w:rsidRDefault="005513FB" w:rsidP="00C66380">
      <w:pPr>
        <w:pStyle w:val="ListParagraph"/>
        <w:ind w:left="1440"/>
      </w:pPr>
      <w:r w:rsidRPr="005513FB">
        <w:t>It is crucial to consider how long people stay in hospitals in order to obtain medical care. In general, PS with the highest quality of service delivery is greatly influenced by administrative processes and drugs, such as admission, discharge, and waiting times for consultations and clinic visits (Xie &amp; Or, 2017; Hussain et al., 2019). The process of evaluating services is negatively impacted by needless delays in facility provision, which eventually results in patient annoyance and rage (Duggirala, Rajendran &amp; Anantharaman, 2008).</w:t>
      </w:r>
    </w:p>
    <w:p w:rsidR="00C66380" w:rsidRDefault="00FC17A0" w:rsidP="00C66380">
      <w:pPr>
        <w:pStyle w:val="ListParagraph"/>
        <w:ind w:left="1440"/>
      </w:pPr>
      <w:r w:rsidRPr="00C66380">
        <w:rPr>
          <w:b/>
        </w:rPr>
        <w:t>Hypothesis 4 (H4): Decreased waiting times are linked with higher patient satisfaction.</w:t>
      </w:r>
      <w:r>
        <w:t> </w:t>
      </w:r>
    </w:p>
    <w:p w:rsidR="00C66380" w:rsidRPr="005513FB" w:rsidRDefault="00FC17A0" w:rsidP="005513FB">
      <w:pPr>
        <w:pStyle w:val="ListParagraph"/>
        <w:numPr>
          <w:ilvl w:val="0"/>
          <w:numId w:val="21"/>
        </w:numPr>
        <w:rPr>
          <w:b/>
        </w:rPr>
      </w:pPr>
      <w:r w:rsidRPr="005513FB">
        <w:rPr>
          <w:b/>
        </w:rPr>
        <w:t>HIT</w:t>
      </w:r>
    </w:p>
    <w:p w:rsidR="005513FB" w:rsidRDefault="00FC17A0" w:rsidP="005513FB">
      <w:pPr>
        <w:pStyle w:val="ListParagraph"/>
        <w:ind w:left="1440"/>
      </w:pPr>
      <w:r>
        <w:t>HIT can influence both hospital services and waiting times as well as patient-</w:t>
      </w:r>
      <w:proofErr w:type="spellStart"/>
      <w:r>
        <w:t>centered</w:t>
      </w:r>
      <w:proofErr w:type="spellEnd"/>
      <w:r>
        <w:t xml:space="preserve"> care provision. </w:t>
      </w:r>
    </w:p>
    <w:p w:rsidR="00FC17A0" w:rsidRPr="005513FB" w:rsidRDefault="00FC17A0" w:rsidP="005513FB">
      <w:pPr>
        <w:pStyle w:val="ListParagraph"/>
        <w:ind w:left="1440"/>
        <w:rPr>
          <w:b/>
          <w:i/>
          <w:iCs/>
        </w:rPr>
      </w:pPr>
      <w:r w:rsidRPr="005513FB">
        <w:rPr>
          <w:b/>
        </w:rPr>
        <w:t>Hypothesis 5 (H5): HIT integration and efficiency can influence patient satisfaction.</w:t>
      </w:r>
    </w:p>
    <w:p w:rsidR="005513FB" w:rsidRDefault="00FC17A0" w:rsidP="005513FB">
      <w:pPr>
        <w:pStyle w:val="Heading3"/>
        <w:ind w:firstLine="720"/>
        <w:rPr>
          <w:rFonts w:cs="Times New Roman"/>
        </w:rPr>
      </w:pPr>
      <w:r>
        <w:rPr>
          <w:rFonts w:cs="Times New Roman"/>
        </w:rPr>
        <w:lastRenderedPageBreak/>
        <w:t>2.9. RESEARCH MODEL</w:t>
      </w:r>
    </w:p>
    <w:p w:rsidR="00FC17A0" w:rsidRPr="005513FB" w:rsidRDefault="00FC17A0" w:rsidP="005513FB">
      <w:pPr>
        <w:pStyle w:val="Heading3"/>
        <w:ind w:left="720" w:firstLine="720"/>
        <w:rPr>
          <w:rFonts w:cs="Times New Roman"/>
          <w:b w:val="0"/>
          <w:bCs/>
        </w:rPr>
      </w:pPr>
      <w:r w:rsidRPr="005513FB">
        <w:rPr>
          <w:b w:val="0"/>
          <w:bCs/>
        </w:rPr>
        <w:t>The research model for our study is outlined below. This model represents the various dependent, independent and moderating variables, and their hypothesized direct and indirect relationships. It explains how independent study variables which affect dependent variables and outcomes can be influenced by moderating variable of technology efficiency. Understanding these relationships is essential to collect data and to determine statistical associations, which can be used to analyse strength of relationships between variables. This, in turn, is essential to answer the research questions raised in our study.</w:t>
      </w:r>
    </w:p>
    <w:p w:rsidR="00FC17A0" w:rsidRDefault="00FC17A0" w:rsidP="00FC17A0"/>
    <w:p w:rsidR="00FC17A0" w:rsidRDefault="00FC17A0" w:rsidP="00FC17A0">
      <w:pPr>
        <w:rPr>
          <w:b/>
        </w:rPr>
      </w:pPr>
      <w:r>
        <w:rPr>
          <w:b/>
        </w:rPr>
        <w:t>Figure 2.7: Research Model</w:t>
      </w:r>
    </w:p>
    <w:p w:rsidR="00FC17A0" w:rsidRDefault="00FC17A0" w:rsidP="00FC17A0">
      <w:r>
        <w:rPr>
          <w:noProof/>
          <w:lang w:val="en-US"/>
        </w:rPr>
        <w:drawing>
          <wp:inline distT="0" distB="0" distL="0" distR="0" wp14:anchorId="4A40C4F1" wp14:editId="31D02B2B">
            <wp:extent cx="5943600" cy="4369178"/>
            <wp:effectExtent l="76200" t="76200" r="133350" b="127000"/>
            <wp:docPr id="162739736" name="Picture 5" descr="D:\Research\Freelancer Work\Majid Thesis\figure.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1" cstate="print"/>
                    <a:srcRect/>
                    <a:stretch/>
                  </pic:blipFill>
                  <pic:spPr>
                    <a:xfrm>
                      <a:off x="0" y="0"/>
                      <a:ext cx="5943600" cy="4369178"/>
                    </a:xfrm>
                    <a:prstGeom prst="rect">
                      <a:avLst/>
                    </a:prstGeom>
                    <a:ln w="38100" cap="sq" cmpd="sng">
                      <a:solidFill>
                        <a:srgbClr val="000000"/>
                      </a:solidFill>
                      <a:prstDash val="solid"/>
                      <a:miter/>
                      <a:headEnd/>
                      <a:tailEnd/>
                    </a:ln>
                    <a:effectLst>
                      <a:outerShdw blurRad="50800" dist="38100" dir="2700000" algn="tl" rotWithShape="0">
                        <a:srgbClr val="000000">
                          <a:alpha val="43000"/>
                        </a:srgbClr>
                      </a:outerShdw>
                    </a:effectLst>
                  </pic:spPr>
                </pic:pic>
              </a:graphicData>
            </a:graphic>
          </wp:inline>
        </w:drawing>
      </w:r>
    </w:p>
    <w:p w:rsidR="00FC17A0" w:rsidRDefault="00FC17A0" w:rsidP="005513FB">
      <w:pPr>
        <w:pStyle w:val="Heading3"/>
        <w:ind w:firstLine="720"/>
        <w:rPr>
          <w:rFonts w:cs="Times New Roman"/>
        </w:rPr>
      </w:pPr>
      <w:r>
        <w:rPr>
          <w:rFonts w:cs="Times New Roman"/>
        </w:rPr>
        <w:t>2.10. SUMMARY</w:t>
      </w:r>
    </w:p>
    <w:p w:rsidR="00DE2FCE" w:rsidRPr="00B47EA0" w:rsidRDefault="00FC17A0" w:rsidP="00B47EA0">
      <w:pPr>
        <w:pStyle w:val="Default"/>
        <w:spacing w:line="360" w:lineRule="auto"/>
        <w:ind w:left="720" w:firstLine="720"/>
        <w:jc w:val="both"/>
        <w:rPr>
          <w:rFonts w:ascii="Times New Roman" w:hAnsi="Times New Roman" w:cs="Times New Roman"/>
          <w:color w:val="auto"/>
        </w:rPr>
      </w:pPr>
      <w:r>
        <w:rPr>
          <w:rFonts w:ascii="Times New Roman" w:hAnsi="Times New Roman" w:cs="Times New Roman"/>
        </w:rPr>
        <w:t>In the light of the above literature review, the context for the current study is defined. The current study aims to determine how healthcare technology can improve quality of healthcare services, especially patient-centered care, and how this improvement can be reflected in terms of patient satisfaction. The current study is conducted in outpatient departments of hospitals in South region of Saudi Arabia, a region where HIT has not been typically researched upon. Therefore, the current study can provide valuable information, which can be utilized to build and modify HIT infrastructures to deliver patient-centric care.</w:t>
      </w:r>
    </w:p>
    <w:p w:rsidR="00DE2FCE" w:rsidRDefault="00DE2FCE" w:rsidP="00FC17A0">
      <w:pPr>
        <w:jc w:val="center"/>
        <w:rPr>
          <w:rFonts w:cs="Times New Roman"/>
          <w:b/>
        </w:rPr>
      </w:pPr>
    </w:p>
    <w:p w:rsidR="00FC17A0" w:rsidRPr="00FC17A0" w:rsidRDefault="00FC17A0" w:rsidP="00FC17A0">
      <w:pPr>
        <w:jc w:val="center"/>
        <w:rPr>
          <w:rFonts w:cs="Times New Roman"/>
          <w:b/>
        </w:rPr>
      </w:pPr>
      <w:r w:rsidRPr="00FC17A0">
        <w:rPr>
          <w:rFonts w:cs="Times New Roman"/>
          <w:b/>
        </w:rPr>
        <w:t>CHAPTER THREE</w:t>
      </w:r>
    </w:p>
    <w:p w:rsidR="00FC17A0" w:rsidRPr="00FC17A0" w:rsidRDefault="00FC17A0" w:rsidP="00FC17A0">
      <w:pPr>
        <w:jc w:val="center"/>
        <w:rPr>
          <w:rFonts w:cs="Times New Roman"/>
          <w:b/>
        </w:rPr>
      </w:pPr>
      <w:r w:rsidRPr="00FC17A0">
        <w:rPr>
          <w:rFonts w:cs="Times New Roman"/>
          <w:b/>
        </w:rPr>
        <w:t>RESEARCH METHODOLOGY</w:t>
      </w:r>
    </w:p>
    <w:p w:rsidR="00FC17A0" w:rsidRPr="00FC17A0" w:rsidRDefault="00FC17A0" w:rsidP="00DE2FCE">
      <w:pPr>
        <w:ind w:firstLine="720"/>
        <w:rPr>
          <w:rFonts w:cs="Times New Roman"/>
          <w:b/>
        </w:rPr>
      </w:pPr>
      <w:r w:rsidRPr="00FC17A0">
        <w:rPr>
          <w:rFonts w:cs="Times New Roman"/>
          <w:b/>
        </w:rPr>
        <w:t>3.1. INTRODUCTION</w:t>
      </w:r>
    </w:p>
    <w:p w:rsidR="00FC17A0" w:rsidRPr="00FC17A0" w:rsidRDefault="00FC17A0" w:rsidP="00DE2FCE">
      <w:pPr>
        <w:ind w:left="720" w:firstLine="720"/>
        <w:rPr>
          <w:rFonts w:cs="Times New Roman"/>
          <w:b/>
        </w:rPr>
      </w:pPr>
      <w:r w:rsidRPr="00FC17A0">
        <w:rPr>
          <w:rFonts w:cs="Times New Roman"/>
        </w:rPr>
        <w:t>Research is a systematic and scientific search for</w:t>
      </w:r>
      <w:r w:rsidR="008F08D5">
        <w:rPr>
          <w:rFonts w:cs="Times New Roman"/>
        </w:rPr>
        <w:t xml:space="preserve"> </w:t>
      </w:r>
      <w:r w:rsidRPr="00FC17A0">
        <w:rPr>
          <w:rFonts w:cs="Times New Roman"/>
        </w:rPr>
        <w:t xml:space="preserve">information on a specific topic (Patel &amp; Patel, 2019). Research methodology is the systematic approach which adopts various logical steps to help understand the products of the scientific inquiry as well as the research process itself i.e., it defines the methodological path of the research (Sridhar, 2008). </w:t>
      </w:r>
      <w:r w:rsidR="008F08D5">
        <w:rPr>
          <w:rFonts w:cs="Times New Roman"/>
        </w:rPr>
        <w:t>In t</w:t>
      </w:r>
      <w:r w:rsidRPr="00FC17A0">
        <w:rPr>
          <w:rFonts w:cs="Times New Roman"/>
        </w:rPr>
        <w:t xml:space="preserve">his chapter will briefly describe the research techniques through which research questions can be answered to attain the objectives of conducting the research. </w:t>
      </w:r>
      <w:r w:rsidR="008F08D5">
        <w:rPr>
          <w:rFonts w:cs="Times New Roman"/>
        </w:rPr>
        <w:t>C</w:t>
      </w:r>
      <w:r w:rsidRPr="00FC17A0">
        <w:rPr>
          <w:rFonts w:cs="Times New Roman"/>
        </w:rPr>
        <w:t>ross-sectional study design will be used to understand the impact of healthcare technology on patient-</w:t>
      </w:r>
      <w:proofErr w:type="spellStart"/>
      <w:r w:rsidRPr="00FC17A0">
        <w:rPr>
          <w:rFonts w:cs="Times New Roman"/>
        </w:rPr>
        <w:t>centered</w:t>
      </w:r>
      <w:proofErr w:type="spellEnd"/>
      <w:r w:rsidRPr="00FC17A0">
        <w:rPr>
          <w:rFonts w:cs="Times New Roman"/>
        </w:rPr>
        <w:t xml:space="preserve"> and efficient outpatient services in hospitals in the Southern region of Saudi Arabia. This study design will include a quantitative component, in the form of a questionnaire to better understand patients’ perspective of health information technology efficiency. </w:t>
      </w:r>
    </w:p>
    <w:p w:rsidR="00FC17A0" w:rsidRPr="00FC17A0" w:rsidRDefault="00FC17A0" w:rsidP="00DE2FCE">
      <w:pPr>
        <w:ind w:firstLine="720"/>
        <w:rPr>
          <w:rFonts w:cs="Times New Roman"/>
          <w:b/>
        </w:rPr>
      </w:pPr>
      <w:r w:rsidRPr="00FC17A0">
        <w:rPr>
          <w:rFonts w:cs="Times New Roman"/>
          <w:b/>
        </w:rPr>
        <w:t>3.2. RESEARCH DESIGN</w:t>
      </w:r>
    </w:p>
    <w:p w:rsidR="00FC17A0" w:rsidRPr="00FC17A0" w:rsidRDefault="00FC17A0" w:rsidP="00DE2FCE">
      <w:pPr>
        <w:ind w:left="720" w:firstLine="720"/>
        <w:rPr>
          <w:rFonts w:cs="Times New Roman"/>
        </w:rPr>
      </w:pPr>
      <w:r w:rsidRPr="00FC17A0">
        <w:rPr>
          <w:rFonts w:cs="Times New Roman"/>
        </w:rPr>
        <w:t>Th</w:t>
      </w:r>
      <w:r w:rsidR="008F08D5">
        <w:rPr>
          <w:rFonts w:cs="Times New Roman"/>
        </w:rPr>
        <w:t>is</w:t>
      </w:r>
      <w:r w:rsidRPr="00FC17A0">
        <w:rPr>
          <w:rFonts w:cs="Times New Roman"/>
        </w:rPr>
        <w:t xml:space="preserve"> study will use a cross-sectional study design, in which quantitative data are collected, analysed, and integrated to answer the research question. In cross-sectional studies, quantitative data collection approaches are applied to study relevant research outcomes. This allows to explore complex aspects and relations of the research objectives and provides novel empirical insights as a population snapshot.</w:t>
      </w:r>
    </w:p>
    <w:p w:rsidR="00FC17A0" w:rsidRPr="00FC17A0" w:rsidRDefault="00FC17A0" w:rsidP="00DE2FCE">
      <w:pPr>
        <w:ind w:left="720" w:firstLine="720"/>
        <w:rPr>
          <w:rFonts w:cs="Times New Roman"/>
          <w:bCs/>
          <w:lang w:val="en-US"/>
        </w:rPr>
      </w:pPr>
      <w:r w:rsidRPr="00FC17A0">
        <w:rPr>
          <w:rFonts w:cs="Times New Roman"/>
        </w:rPr>
        <w:t xml:space="preserve">Cross-sectional studies have the advantage of </w:t>
      </w:r>
      <w:r w:rsidRPr="00FC17A0">
        <w:rPr>
          <w:rFonts w:cs="Times New Roman"/>
          <w:bCs/>
          <w:lang w:val="en-US"/>
        </w:rPr>
        <w:t>providing an estimate of prevalence with an inexpensive, short and quick study design. Generally cross-sectional studies can be analytical, in which outcomes are explained on the basis of relationships between variables, or descriptive, where outcomes are simply summarized using descriptive statistics. Our study will utilize the analytical cross-sectional study design to determine relationships between variables defining the final outcome of patient satisfaction with technological efficiency.</w:t>
      </w:r>
    </w:p>
    <w:p w:rsidR="00FC17A0" w:rsidRPr="00FC17A0" w:rsidRDefault="00FC17A0" w:rsidP="00DE2FCE">
      <w:pPr>
        <w:ind w:left="720"/>
        <w:rPr>
          <w:rFonts w:cs="Times New Roman"/>
          <w:b/>
        </w:rPr>
      </w:pPr>
      <w:r w:rsidRPr="00FC17A0">
        <w:rPr>
          <w:rFonts w:cs="Times New Roman"/>
          <w:b/>
        </w:rPr>
        <w:t>3.3. UNIT OF ANALYSIS AND UNIT OF OBSERVATION</w:t>
      </w:r>
    </w:p>
    <w:p w:rsidR="00FC17A0" w:rsidRPr="00FC17A0" w:rsidRDefault="00FC17A0" w:rsidP="00DE2FCE">
      <w:pPr>
        <w:ind w:left="720" w:firstLine="720"/>
        <w:rPr>
          <w:rFonts w:cs="Times New Roman"/>
        </w:rPr>
      </w:pPr>
      <w:r w:rsidRPr="00FC17A0">
        <w:rPr>
          <w:rFonts w:cs="Times New Roman"/>
        </w:rPr>
        <w:t xml:space="preserve">Units of analysis and units of observation are related to what the researcher observes in the data collection, and how they can analyse these observations. Units of analysis represent the study focus or study objectives i.e., what the researcher wishes to reflect on by conducting the study; on the contrary, units of observation represent the actual items or variables that are observed, measured, and collected during the research process (DeCarlo, 2019). </w:t>
      </w:r>
    </w:p>
    <w:p w:rsidR="00FC17A0" w:rsidRPr="00FC17A0" w:rsidRDefault="00FC17A0" w:rsidP="00DE2FCE">
      <w:pPr>
        <w:ind w:left="720" w:firstLine="720"/>
        <w:rPr>
          <w:rFonts w:cs="Times New Roman"/>
        </w:rPr>
      </w:pPr>
      <w:r w:rsidRPr="00FC17A0">
        <w:rPr>
          <w:rFonts w:cs="Times New Roman"/>
        </w:rPr>
        <w:t xml:space="preserve">The units of observation and units of analysis are frequently confused with each other (Sedgwick, 2014). The units of analysis statistically define the ‘who’ or ‘what’ for which information </w:t>
      </w:r>
      <w:r w:rsidRPr="00FC17A0">
        <w:rPr>
          <w:rFonts w:cs="Times New Roman"/>
        </w:rPr>
        <w:lastRenderedPageBreak/>
        <w:t>is analysed and conclusions are made, whereas, as defined above, the units of observation represent the ‘who’ or ‘what’ for which data are measured and collected (Da Veiga, 2016). The types of units frequently used in empirical studies are further described in table 3.1. These units may be the same or may differ depending on the study design (Neuendorf, 2020).</w:t>
      </w:r>
    </w:p>
    <w:p w:rsidR="00FC17A0" w:rsidRPr="00FC17A0" w:rsidRDefault="00FC17A0" w:rsidP="00FC17A0">
      <w:pPr>
        <w:rPr>
          <w:rFonts w:cs="Times New Roman"/>
          <w:b/>
        </w:rPr>
      </w:pPr>
      <w:r w:rsidRPr="00FC17A0">
        <w:rPr>
          <w:rFonts w:cs="Times New Roman"/>
          <w:b/>
        </w:rPr>
        <w:t>Table 3.1: Types of Units in Empirical Studies (Neuendorf, 2020)</w:t>
      </w:r>
    </w:p>
    <w:tbl>
      <w:tblPr>
        <w:tblStyle w:val="TableGrid"/>
        <w:tblW w:w="0" w:type="auto"/>
        <w:tblLook w:val="04A0" w:firstRow="1" w:lastRow="0" w:firstColumn="1" w:lastColumn="0" w:noHBand="0" w:noVBand="1"/>
      </w:tblPr>
      <w:tblGrid>
        <w:gridCol w:w="1975"/>
        <w:gridCol w:w="7375"/>
      </w:tblGrid>
      <w:tr w:rsidR="00FC17A0" w:rsidRPr="00FC17A0" w:rsidTr="00FC17A0">
        <w:tc>
          <w:tcPr>
            <w:tcW w:w="19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rPr>
            </w:pPr>
            <w:r w:rsidRPr="00FC17A0">
              <w:rPr>
                <w:rFonts w:cs="Times New Roman"/>
                <w:b/>
              </w:rPr>
              <w:t>Unit</w:t>
            </w:r>
          </w:p>
        </w:tc>
        <w:tc>
          <w:tcPr>
            <w:tcW w:w="73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rPr>
            </w:pPr>
            <w:r w:rsidRPr="00FC17A0">
              <w:rPr>
                <w:rFonts w:cs="Times New Roman"/>
                <w:b/>
              </w:rPr>
              <w:t>Definition</w:t>
            </w:r>
          </w:p>
        </w:tc>
      </w:tr>
      <w:tr w:rsidR="00FC17A0" w:rsidRPr="00FC17A0" w:rsidTr="00FC17A0">
        <w:tc>
          <w:tcPr>
            <w:tcW w:w="19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rPr>
            </w:pPr>
            <w:r w:rsidRPr="00FC17A0">
              <w:rPr>
                <w:rFonts w:cs="Times New Roman"/>
                <w:b/>
              </w:rPr>
              <w:t>Unit of Sampling</w:t>
            </w:r>
          </w:p>
        </w:tc>
        <w:tc>
          <w:tcPr>
            <w:tcW w:w="73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These elements serve as basis for defining the study population and sampling frame as well as for drawing samples</w:t>
            </w:r>
          </w:p>
        </w:tc>
      </w:tr>
      <w:tr w:rsidR="00FC17A0" w:rsidRPr="00FC17A0" w:rsidTr="00FC17A0">
        <w:tc>
          <w:tcPr>
            <w:tcW w:w="19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rPr>
            </w:pPr>
            <w:r w:rsidRPr="00FC17A0">
              <w:rPr>
                <w:rFonts w:cs="Times New Roman"/>
                <w:b/>
              </w:rPr>
              <w:t>Unit of Analysis</w:t>
            </w:r>
          </w:p>
        </w:tc>
        <w:tc>
          <w:tcPr>
            <w:tcW w:w="73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 xml:space="preserve">This is the element for which information is analysed and conclusions are made; </w:t>
            </w:r>
            <w:r w:rsidR="008F08D5">
              <w:rPr>
                <w:rFonts w:cs="Times New Roman"/>
              </w:rPr>
              <w:t>i</w:t>
            </w:r>
            <w:r w:rsidR="008F08D5" w:rsidRPr="008F08D5">
              <w:rPr>
                <w:rFonts w:cs="Times New Roman"/>
              </w:rPr>
              <w:t>t provides the foundation for carrying out and summarizing analyses</w:t>
            </w:r>
            <w:r w:rsidRPr="00FC17A0">
              <w:rPr>
                <w:rFonts w:cs="Times New Roman"/>
              </w:rPr>
              <w:t>.</w:t>
            </w:r>
          </w:p>
          <w:p w:rsidR="00FC17A0" w:rsidRPr="00FC17A0" w:rsidRDefault="00FC17A0" w:rsidP="00FC17A0">
            <w:pPr>
              <w:spacing w:after="160"/>
              <w:rPr>
                <w:rFonts w:cs="Times New Roman"/>
              </w:rPr>
            </w:pPr>
            <w:r w:rsidRPr="00FC17A0">
              <w:rPr>
                <w:rFonts w:cs="Times New Roman"/>
              </w:rPr>
              <w:t xml:space="preserve">This unit is of primary importance and is mostly referred to in hypothesis or research questions. </w:t>
            </w:r>
            <w:r w:rsidR="008F08D5">
              <w:rPr>
                <w:rFonts w:cs="Times New Roman"/>
              </w:rPr>
              <w:t>U</w:t>
            </w:r>
            <w:r w:rsidRPr="00FC17A0">
              <w:rPr>
                <w:rFonts w:cs="Times New Roman"/>
              </w:rPr>
              <w:t>nit of analysis may be an individual, a group, organization, or even the society itself.</w:t>
            </w:r>
          </w:p>
        </w:tc>
      </w:tr>
      <w:tr w:rsidR="00FC17A0" w:rsidRPr="00FC17A0" w:rsidTr="00FC17A0">
        <w:tc>
          <w:tcPr>
            <w:tcW w:w="19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rPr>
            </w:pPr>
            <w:r w:rsidRPr="00FC17A0">
              <w:rPr>
                <w:rFonts w:cs="Times New Roman"/>
                <w:b/>
              </w:rPr>
              <w:t>Unit of Observation</w:t>
            </w:r>
          </w:p>
        </w:tc>
        <w:tc>
          <w:tcPr>
            <w:tcW w:w="737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 xml:space="preserve">This is the element </w:t>
            </w:r>
            <w:r w:rsidR="008F08D5">
              <w:rPr>
                <w:rFonts w:cs="Times New Roman"/>
              </w:rPr>
              <w:t>in</w:t>
            </w:r>
            <w:r w:rsidRPr="00FC17A0">
              <w:rPr>
                <w:rFonts w:cs="Times New Roman"/>
              </w:rPr>
              <w:t xml:space="preserve"> which variables are measured, i.e., on which the data are collected. It typically resembles the individuals to be measured on behalf of the representative from the unit of analysis in formulating the conclusion of the research.</w:t>
            </w:r>
          </w:p>
        </w:tc>
      </w:tr>
    </w:tbl>
    <w:p w:rsidR="00FC17A0" w:rsidRPr="00FC17A0" w:rsidRDefault="00FC17A0" w:rsidP="00DE2FCE">
      <w:pPr>
        <w:ind w:left="720"/>
        <w:rPr>
          <w:rFonts w:cs="Times New Roman"/>
        </w:rPr>
      </w:pPr>
      <w:r w:rsidRPr="00FC17A0">
        <w:rPr>
          <w:rFonts w:cs="Times New Roman"/>
          <w:b/>
        </w:rPr>
        <w:t xml:space="preserve"> </w:t>
      </w:r>
      <w:r w:rsidRPr="00FC17A0">
        <w:rPr>
          <w:rFonts w:cs="Times New Roman"/>
          <w:b/>
        </w:rPr>
        <w:br/>
      </w:r>
      <w:r w:rsidRPr="00FC17A0">
        <w:rPr>
          <w:rFonts w:cs="Times New Roman"/>
        </w:rPr>
        <w:t>In this study, the objective is to determine the role pre-existing OPD services and facilities, and healthcare providers play in maintaining healthcare quality in hospitals and to explore how healthcare information technology impacts OPD services and facilities and healthcare providers in maintaining healthcare quality. The study will focus on how patients perceive pre-existing OPD services and facilities (such as registration services, physician and nursing services, waiting times etc.), and how health information technology can impact their satisfaction. In this study, therefore, the unit of analysis will be the patient population, which will be presenting to the outpatient facilities, since service perceptions and concepts about technological efficiency are based on the behavioural analysis of this population. The results of the study will be applied to this specific patient population and will be then generalizable to patients presenting in other healthcare settings as well.</w:t>
      </w:r>
    </w:p>
    <w:p w:rsidR="00FC17A0" w:rsidRPr="00FC17A0" w:rsidRDefault="00FC17A0" w:rsidP="00DE2FCE">
      <w:pPr>
        <w:ind w:left="720" w:firstLine="720"/>
        <w:rPr>
          <w:rFonts w:cs="Times New Roman"/>
        </w:rPr>
      </w:pPr>
      <w:r w:rsidRPr="00FC17A0">
        <w:rPr>
          <w:rFonts w:cs="Times New Roman"/>
        </w:rPr>
        <w:t xml:space="preserve">Patient perceptions about OPD facilities and technological efficiency will be dependent on the viewpoint of individual patients. In this study, therefore, the patients themselves will be considered the units of observation, and data will be collected from them through survey questionnaires. </w:t>
      </w:r>
    </w:p>
    <w:p w:rsidR="00DE2FCE" w:rsidRDefault="00DE2FCE" w:rsidP="00FC17A0">
      <w:pPr>
        <w:rPr>
          <w:rFonts w:cs="Times New Roman"/>
          <w:b/>
        </w:rPr>
      </w:pPr>
    </w:p>
    <w:p w:rsidR="00FC17A0" w:rsidRPr="00FC17A0" w:rsidRDefault="00FC17A0" w:rsidP="00DE2FCE">
      <w:pPr>
        <w:ind w:firstLine="720"/>
        <w:rPr>
          <w:rFonts w:cs="Times New Roman"/>
          <w:b/>
        </w:rPr>
      </w:pPr>
      <w:r w:rsidRPr="00FC17A0">
        <w:rPr>
          <w:rFonts w:cs="Times New Roman"/>
          <w:b/>
        </w:rPr>
        <w:lastRenderedPageBreak/>
        <w:t>3.4. STUDY SETTING</w:t>
      </w:r>
    </w:p>
    <w:p w:rsidR="00FC17A0" w:rsidRPr="00FC17A0" w:rsidRDefault="00FC17A0" w:rsidP="00DE2FCE">
      <w:pPr>
        <w:ind w:left="360" w:firstLine="720"/>
        <w:rPr>
          <w:rFonts w:cs="Times New Roman"/>
        </w:rPr>
      </w:pPr>
      <w:r w:rsidRPr="00FC17A0">
        <w:rPr>
          <w:rFonts w:cs="Times New Roman"/>
        </w:rPr>
        <w:t>The study setting will include both public and private sector hospitals in the Southern region of Saudi Arabia providing outpatient services. Figure 3.1 illustrates the Southern region of Saudi Arabia. This includes the following hospitals:</w:t>
      </w:r>
    </w:p>
    <w:p w:rsidR="00FC17A0" w:rsidRPr="00FC17A0" w:rsidRDefault="00FC17A0" w:rsidP="00FC17A0">
      <w:pPr>
        <w:numPr>
          <w:ilvl w:val="0"/>
          <w:numId w:val="10"/>
        </w:numPr>
        <w:rPr>
          <w:rFonts w:cs="Times New Roman"/>
        </w:rPr>
      </w:pPr>
      <w:r w:rsidRPr="00FC17A0">
        <w:rPr>
          <w:rFonts w:cs="Times New Roman"/>
        </w:rPr>
        <w:t>King Fahad Hospital - Al Bahah</w:t>
      </w:r>
    </w:p>
    <w:p w:rsidR="00FC17A0" w:rsidRPr="00FC17A0" w:rsidRDefault="00FC17A0" w:rsidP="00FC17A0">
      <w:pPr>
        <w:numPr>
          <w:ilvl w:val="0"/>
          <w:numId w:val="10"/>
        </w:numPr>
        <w:rPr>
          <w:rFonts w:cs="Times New Roman"/>
        </w:rPr>
      </w:pPr>
      <w:r w:rsidRPr="00FC17A0">
        <w:rPr>
          <w:rFonts w:cs="Times New Roman"/>
        </w:rPr>
        <w:t>Asir Central Hospital - Abha</w:t>
      </w:r>
    </w:p>
    <w:p w:rsidR="00FC17A0" w:rsidRPr="00FC17A0" w:rsidRDefault="00FC17A0" w:rsidP="00FC17A0">
      <w:pPr>
        <w:numPr>
          <w:ilvl w:val="0"/>
          <w:numId w:val="10"/>
        </w:numPr>
        <w:rPr>
          <w:rFonts w:cs="Times New Roman"/>
        </w:rPr>
      </w:pPr>
      <w:r w:rsidRPr="00FC17A0">
        <w:rPr>
          <w:rFonts w:cs="Times New Roman"/>
        </w:rPr>
        <w:t>Abha General Hospital - Abha</w:t>
      </w:r>
    </w:p>
    <w:p w:rsidR="00FC17A0" w:rsidRPr="00FC17A0" w:rsidRDefault="00FC17A0" w:rsidP="00FC17A0">
      <w:pPr>
        <w:numPr>
          <w:ilvl w:val="0"/>
          <w:numId w:val="10"/>
        </w:numPr>
        <w:rPr>
          <w:rFonts w:cs="Times New Roman"/>
        </w:rPr>
      </w:pPr>
      <w:r w:rsidRPr="00FC17A0">
        <w:rPr>
          <w:rFonts w:cs="Times New Roman"/>
        </w:rPr>
        <w:t>Abha Private Hospital - Abha</w:t>
      </w:r>
    </w:p>
    <w:p w:rsidR="00FC17A0" w:rsidRPr="00FC17A0" w:rsidRDefault="00FC17A0" w:rsidP="00FC17A0">
      <w:pPr>
        <w:numPr>
          <w:ilvl w:val="0"/>
          <w:numId w:val="10"/>
        </w:numPr>
        <w:rPr>
          <w:rFonts w:cs="Times New Roman"/>
        </w:rPr>
      </w:pPr>
      <w:r w:rsidRPr="00FC17A0">
        <w:rPr>
          <w:rFonts w:cs="Times New Roman"/>
        </w:rPr>
        <w:t>The Saudi German Hospital - Abha</w:t>
      </w:r>
    </w:p>
    <w:p w:rsidR="00FC17A0" w:rsidRPr="00FC17A0" w:rsidRDefault="00FC17A0" w:rsidP="00FC17A0">
      <w:pPr>
        <w:numPr>
          <w:ilvl w:val="0"/>
          <w:numId w:val="10"/>
        </w:numPr>
        <w:rPr>
          <w:rFonts w:cs="Times New Roman"/>
        </w:rPr>
      </w:pPr>
      <w:r w:rsidRPr="00FC17A0">
        <w:rPr>
          <w:rFonts w:cs="Times New Roman"/>
        </w:rPr>
        <w:t>Al-Rahma Hospital - Abha</w:t>
      </w:r>
    </w:p>
    <w:p w:rsidR="00FC17A0" w:rsidRPr="00FC17A0" w:rsidRDefault="00FC17A0" w:rsidP="00FC17A0">
      <w:pPr>
        <w:numPr>
          <w:ilvl w:val="0"/>
          <w:numId w:val="10"/>
        </w:numPr>
        <w:rPr>
          <w:rFonts w:cs="Times New Roman"/>
        </w:rPr>
      </w:pPr>
      <w:r w:rsidRPr="00FC17A0">
        <w:rPr>
          <w:rFonts w:cs="Times New Roman"/>
        </w:rPr>
        <w:t xml:space="preserve">Armed Forces Hospital Southern Region - Khamis </w:t>
      </w:r>
      <w:proofErr w:type="spellStart"/>
      <w:r w:rsidRPr="00FC17A0">
        <w:rPr>
          <w:rFonts w:cs="Times New Roman"/>
        </w:rPr>
        <w:t>Mushait</w:t>
      </w:r>
      <w:proofErr w:type="spellEnd"/>
    </w:p>
    <w:p w:rsidR="00FC17A0" w:rsidRPr="00FC17A0" w:rsidRDefault="00FC17A0" w:rsidP="00FC17A0">
      <w:pPr>
        <w:numPr>
          <w:ilvl w:val="0"/>
          <w:numId w:val="10"/>
        </w:numPr>
        <w:rPr>
          <w:rFonts w:cs="Times New Roman"/>
        </w:rPr>
      </w:pPr>
      <w:r w:rsidRPr="00FC17A0">
        <w:rPr>
          <w:rFonts w:cs="Times New Roman"/>
        </w:rPr>
        <w:t>Al-Zafer Hospital - Najran</w:t>
      </w:r>
    </w:p>
    <w:p w:rsidR="00FC17A0" w:rsidRPr="00FC17A0" w:rsidRDefault="00FC17A0" w:rsidP="00FC17A0">
      <w:pPr>
        <w:numPr>
          <w:ilvl w:val="0"/>
          <w:numId w:val="10"/>
        </w:numPr>
        <w:rPr>
          <w:rFonts w:cs="Times New Roman"/>
        </w:rPr>
      </w:pPr>
      <w:proofErr w:type="spellStart"/>
      <w:r w:rsidRPr="00FC17A0">
        <w:rPr>
          <w:rFonts w:cs="Times New Roman"/>
        </w:rPr>
        <w:t>Alwaseet</w:t>
      </w:r>
      <w:proofErr w:type="spellEnd"/>
      <w:r w:rsidRPr="00FC17A0">
        <w:rPr>
          <w:rFonts w:cs="Times New Roman"/>
        </w:rPr>
        <w:t xml:space="preserve"> Medical Complex. - Jizan City</w:t>
      </w:r>
    </w:p>
    <w:p w:rsidR="00FC17A0" w:rsidRPr="00FC17A0" w:rsidRDefault="00FC17A0" w:rsidP="00FC17A0">
      <w:pPr>
        <w:rPr>
          <w:rFonts w:cs="Times New Roman"/>
          <w:b/>
        </w:rPr>
      </w:pPr>
      <w:r w:rsidRPr="00FC17A0">
        <w:rPr>
          <w:rFonts w:cs="Times New Roman"/>
          <w:b/>
        </w:rPr>
        <w:t>Figure 3.1: Map of Southern Region of Saudi Arabia (adapted from Alghamdi, Aleissa &amp; Al-</w:t>
      </w:r>
      <w:proofErr w:type="spellStart"/>
      <w:r w:rsidRPr="00FC17A0">
        <w:rPr>
          <w:rFonts w:cs="Times New Roman"/>
          <w:b/>
        </w:rPr>
        <w:t>Hamarneh</w:t>
      </w:r>
      <w:proofErr w:type="spellEnd"/>
      <w:r w:rsidRPr="00FC17A0">
        <w:rPr>
          <w:rFonts w:cs="Times New Roman"/>
          <w:b/>
        </w:rPr>
        <w:t>, 2019).</w:t>
      </w:r>
    </w:p>
    <w:p w:rsidR="00FC17A0" w:rsidRPr="00FC17A0" w:rsidRDefault="00FC17A0" w:rsidP="00FC17A0">
      <w:pPr>
        <w:rPr>
          <w:rFonts w:cs="Times New Roman"/>
        </w:rPr>
      </w:pPr>
      <w:r w:rsidRPr="00FC17A0">
        <w:rPr>
          <w:rFonts w:cs="Times New Roman"/>
          <w:noProof/>
          <w:lang w:val="en-US"/>
        </w:rPr>
        <w:lastRenderedPageBreak/>
        <w:drawing>
          <wp:inline distT="0" distB="0" distL="0" distR="0">
            <wp:extent cx="5838825" cy="5048250"/>
            <wp:effectExtent l="0" t="0" r="9525" b="0"/>
            <wp:docPr id="165482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l="11452" t="8849" r="11967" b="40007"/>
                    <a:stretch>
                      <a:fillRect/>
                    </a:stretch>
                  </pic:blipFill>
                  <pic:spPr bwMode="auto">
                    <a:xfrm>
                      <a:off x="0" y="0"/>
                      <a:ext cx="5838825" cy="5048250"/>
                    </a:xfrm>
                    <a:prstGeom prst="rect">
                      <a:avLst/>
                    </a:prstGeom>
                    <a:noFill/>
                    <a:ln>
                      <a:noFill/>
                    </a:ln>
                  </pic:spPr>
                </pic:pic>
              </a:graphicData>
            </a:graphic>
          </wp:inline>
        </w:drawing>
      </w:r>
    </w:p>
    <w:p w:rsidR="00FC17A0" w:rsidRPr="00FC17A0" w:rsidRDefault="00FC17A0" w:rsidP="00DE2FCE">
      <w:pPr>
        <w:ind w:firstLine="720"/>
        <w:rPr>
          <w:rFonts w:cs="Times New Roman"/>
          <w:b/>
        </w:rPr>
      </w:pPr>
      <w:r w:rsidRPr="00FC17A0">
        <w:rPr>
          <w:rFonts w:cs="Times New Roman"/>
          <w:b/>
        </w:rPr>
        <w:t>3.5. STUDY POPULATION</w:t>
      </w:r>
    </w:p>
    <w:p w:rsidR="00FC17A0" w:rsidRPr="00FC17A0" w:rsidRDefault="00FC17A0" w:rsidP="00DE2FCE">
      <w:pPr>
        <w:ind w:left="720" w:firstLine="720"/>
        <w:rPr>
          <w:rFonts w:cs="Times New Roman"/>
        </w:rPr>
      </w:pPr>
      <w:r w:rsidRPr="00FC17A0">
        <w:rPr>
          <w:rFonts w:cs="Times New Roman"/>
        </w:rPr>
        <w:t xml:space="preserve">A clear and detailed definition of the study population is essential in human research to determine the eligibility of individuals for the study (Eldredge, Weagel &amp; Kroth, 2014); this defined population can then become basis for applying results of research to other relevant populations. It is essential to define clearly the inclusion and exclusion criteria for the study population (International Committee of Medical Journals Editor, 2010). In this study the target population is residents of the Southern region of Saudi Arabia.  The study population will be patients presenting to the outpatient department or outpatient clinics for all specialties. At the end of each clinic visit, patients will be explained about the study, and those patients who agree to participate will be provided with written informed consent forms as well as patient satisfaction </w:t>
      </w:r>
      <w:proofErr w:type="spellStart"/>
      <w:r w:rsidRPr="00FC17A0">
        <w:rPr>
          <w:rFonts w:cs="Times New Roman"/>
        </w:rPr>
        <w:t>performas</w:t>
      </w:r>
      <w:proofErr w:type="spellEnd"/>
      <w:r w:rsidRPr="00FC17A0">
        <w:rPr>
          <w:rFonts w:cs="Times New Roman"/>
        </w:rPr>
        <w:t>. This study population will be derived from population estimates for the Southern region of Saudi Arabia, as outlined in table 3.1.</w:t>
      </w:r>
    </w:p>
    <w:p w:rsidR="00843276" w:rsidRDefault="00843276" w:rsidP="00843276">
      <w:pPr>
        <w:ind w:firstLine="720"/>
        <w:rPr>
          <w:rFonts w:cs="Times New Roman"/>
          <w:b/>
        </w:rPr>
      </w:pPr>
    </w:p>
    <w:p w:rsidR="00843276" w:rsidRDefault="00843276" w:rsidP="00843276">
      <w:pPr>
        <w:ind w:firstLine="720"/>
        <w:rPr>
          <w:rFonts w:cs="Times New Roman"/>
          <w:b/>
        </w:rPr>
      </w:pPr>
    </w:p>
    <w:p w:rsidR="00843276" w:rsidRDefault="00843276" w:rsidP="00843276">
      <w:pPr>
        <w:ind w:firstLine="720"/>
        <w:rPr>
          <w:rFonts w:cs="Times New Roman"/>
          <w:b/>
        </w:rPr>
      </w:pPr>
    </w:p>
    <w:p w:rsidR="00843276" w:rsidRDefault="00843276" w:rsidP="00843276">
      <w:pPr>
        <w:ind w:firstLine="720"/>
        <w:rPr>
          <w:rFonts w:cs="Times New Roman"/>
          <w:b/>
        </w:rPr>
      </w:pPr>
    </w:p>
    <w:p w:rsidR="00FC17A0" w:rsidRPr="00FC17A0" w:rsidRDefault="00FC17A0" w:rsidP="00843276">
      <w:pPr>
        <w:ind w:firstLine="720"/>
        <w:rPr>
          <w:rFonts w:cs="Times New Roman"/>
          <w:b/>
        </w:rPr>
      </w:pPr>
      <w:r w:rsidRPr="00FC17A0">
        <w:rPr>
          <w:rFonts w:cs="Times New Roman"/>
          <w:b/>
        </w:rPr>
        <w:lastRenderedPageBreak/>
        <w:t>Table 3.1: Region-wise population in Southern Saudi Arabia</w:t>
      </w:r>
    </w:p>
    <w:tbl>
      <w:tblPr>
        <w:tblStyle w:val="GridTable1Light"/>
        <w:tblW w:w="0" w:type="auto"/>
        <w:tblLook w:val="04A0" w:firstRow="1" w:lastRow="0" w:firstColumn="1" w:lastColumn="0" w:noHBand="0" w:noVBand="1"/>
      </w:tblPr>
      <w:tblGrid>
        <w:gridCol w:w="4675"/>
        <w:gridCol w:w="4675"/>
      </w:tblGrid>
      <w:tr w:rsidR="00FC17A0" w:rsidRPr="00FC17A0" w:rsidTr="00FC1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Region</w:t>
            </w:r>
            <w:r w:rsidRPr="00FC17A0">
              <w:rPr>
                <w:rFonts w:cs="Times New Roman"/>
              </w:rPr>
              <w:tab/>
            </w:r>
          </w:p>
        </w:tc>
        <w:tc>
          <w:tcPr>
            <w:tcW w:w="4675" w:type="dxa"/>
            <w:tcBorders>
              <w:top w:val="single" w:sz="4" w:space="0" w:color="999999" w:themeColor="text1" w:themeTint="66"/>
              <w:left w:val="single" w:sz="4" w:space="0" w:color="999999" w:themeColor="text1" w:themeTint="66"/>
              <w:right w:val="single" w:sz="4" w:space="0" w:color="999999" w:themeColor="text1" w:themeTint="66"/>
            </w:tcBorders>
            <w:hideMark/>
          </w:tcPr>
          <w:p w:rsidR="00FC17A0" w:rsidRPr="00FC17A0" w:rsidRDefault="00FC17A0" w:rsidP="00FC17A0">
            <w:pPr>
              <w:spacing w:after="160"/>
              <w:cnfStyle w:val="100000000000" w:firstRow="1" w:lastRow="0" w:firstColumn="0" w:lastColumn="0" w:oddVBand="0" w:evenVBand="0" w:oddHBand="0" w:evenHBand="0" w:firstRowFirstColumn="0" w:firstRowLastColumn="0" w:lastRowFirstColumn="0" w:lastRowLastColumn="0"/>
              <w:rPr>
                <w:rFonts w:cs="Times New Roman"/>
              </w:rPr>
            </w:pPr>
            <w:r w:rsidRPr="00FC17A0">
              <w:rPr>
                <w:rFonts w:cs="Times New Roman"/>
              </w:rPr>
              <w:t>Population (according to 2017 census)</w:t>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Asir Region</w:t>
            </w:r>
          </w:p>
        </w:tc>
        <w:tc>
          <w:tcPr>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2,211,875</w:t>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Jizan Region</w:t>
            </w:r>
          </w:p>
        </w:tc>
        <w:tc>
          <w:tcPr>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1,567,547</w:t>
            </w:r>
            <w:r w:rsidRPr="00FC17A0">
              <w:rPr>
                <w:rFonts w:cs="Times New Roman"/>
              </w:rPr>
              <w:tab/>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Najran Region</w:t>
            </w:r>
          </w:p>
        </w:tc>
        <w:tc>
          <w:tcPr>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582,243</w:t>
            </w:r>
            <w:r w:rsidRPr="00FC17A0">
              <w:rPr>
                <w:rFonts w:cs="Times New Roman"/>
              </w:rPr>
              <w:tab/>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Al-Bahah Region</w:t>
            </w:r>
          </w:p>
        </w:tc>
        <w:tc>
          <w:tcPr>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476,172</w:t>
            </w:r>
            <w:r w:rsidRPr="00FC17A0">
              <w:rPr>
                <w:rFonts w:cs="Times New Roman"/>
              </w:rPr>
              <w:tab/>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Total</w:t>
            </w:r>
          </w:p>
        </w:tc>
        <w:tc>
          <w:tcPr>
            <w:tcW w:w="46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4,837,837</w:t>
            </w:r>
          </w:p>
        </w:tc>
      </w:tr>
    </w:tbl>
    <w:p w:rsidR="00FC17A0" w:rsidRPr="00FC17A0" w:rsidRDefault="00FC17A0" w:rsidP="00FC17A0">
      <w:pPr>
        <w:rPr>
          <w:rFonts w:cs="Times New Roman"/>
        </w:rPr>
      </w:pPr>
      <w:r w:rsidRPr="00FC17A0">
        <w:rPr>
          <w:rFonts w:cs="Times New Roman"/>
        </w:rPr>
        <w:t xml:space="preserve">  </w:t>
      </w:r>
    </w:p>
    <w:p w:rsidR="00FC17A0" w:rsidRPr="00FC17A0" w:rsidRDefault="00FC17A0" w:rsidP="00843276">
      <w:pPr>
        <w:ind w:firstLine="720"/>
        <w:rPr>
          <w:rFonts w:cs="Times New Roman"/>
          <w:b/>
        </w:rPr>
      </w:pPr>
      <w:r w:rsidRPr="00FC17A0">
        <w:rPr>
          <w:rFonts w:cs="Times New Roman"/>
          <w:b/>
        </w:rPr>
        <w:t>3.6. STUDY PARTICIPANTS</w:t>
      </w:r>
    </w:p>
    <w:p w:rsidR="00FC17A0" w:rsidRPr="00FC17A0" w:rsidRDefault="00FC17A0" w:rsidP="00843276">
      <w:pPr>
        <w:ind w:left="720" w:firstLine="720"/>
        <w:rPr>
          <w:rFonts w:cs="Times New Roman"/>
        </w:rPr>
      </w:pPr>
      <w:r w:rsidRPr="00FC17A0">
        <w:rPr>
          <w:rFonts w:cs="Times New Roman"/>
        </w:rPr>
        <w:t>Study participants will include consenting adult patients visiting the outpatient department or clinics in aforementioned hospitals, and who meet the inclusion criteria set below.</w:t>
      </w:r>
    </w:p>
    <w:p w:rsidR="00FC17A0" w:rsidRPr="00FC17A0" w:rsidRDefault="00FC17A0" w:rsidP="00843276">
      <w:pPr>
        <w:ind w:firstLine="720"/>
        <w:rPr>
          <w:rFonts w:cs="Times New Roman"/>
          <w:b/>
        </w:rPr>
      </w:pPr>
      <w:r w:rsidRPr="00FC17A0">
        <w:rPr>
          <w:rFonts w:cs="Times New Roman"/>
          <w:b/>
        </w:rPr>
        <w:t>3.7. INCLUSION AND EXCLUSION CRITERIA</w:t>
      </w:r>
    </w:p>
    <w:p w:rsidR="00FC17A0" w:rsidRPr="00FC17A0" w:rsidRDefault="00FC17A0" w:rsidP="00843276">
      <w:pPr>
        <w:ind w:left="720" w:firstLine="720"/>
        <w:rPr>
          <w:rFonts w:cs="Times New Roman"/>
        </w:rPr>
      </w:pPr>
      <w:r w:rsidRPr="00FC17A0">
        <w:rPr>
          <w:rFonts w:cs="Times New Roman"/>
        </w:rPr>
        <w:t>The inclusion criteria will include adult patients &gt;18 years of age, of both genders, who have presented for the first time in the concerned outpatient facility during the last 6 months, and who consent to participate in the study.</w:t>
      </w:r>
    </w:p>
    <w:p w:rsidR="00FC17A0" w:rsidRPr="00FC17A0" w:rsidRDefault="00FC17A0" w:rsidP="00843276">
      <w:pPr>
        <w:ind w:left="720" w:firstLine="720"/>
        <w:rPr>
          <w:rFonts w:cs="Times New Roman"/>
        </w:rPr>
      </w:pPr>
      <w:r w:rsidRPr="00FC17A0">
        <w:rPr>
          <w:rFonts w:cs="Times New Roman"/>
        </w:rPr>
        <w:t xml:space="preserve">Paediatric patients, and patients with history of multiple visits within the last 6 months will be excluded. Patients with a language barrier who cannot complete the questionnaire in either English or Arabic will also be included. Lack of valid informed consent will also be a criterion for exclusion from the study.  </w:t>
      </w:r>
    </w:p>
    <w:p w:rsidR="00FC17A0" w:rsidRPr="00FC17A0" w:rsidRDefault="00FC17A0" w:rsidP="00843276">
      <w:pPr>
        <w:ind w:left="720"/>
        <w:rPr>
          <w:rFonts w:cs="Times New Roman"/>
          <w:b/>
        </w:rPr>
      </w:pPr>
      <w:r w:rsidRPr="00FC17A0">
        <w:rPr>
          <w:rFonts w:cs="Times New Roman"/>
        </w:rPr>
        <w:t>3.</w:t>
      </w:r>
      <w:r w:rsidRPr="00FC17A0">
        <w:rPr>
          <w:rFonts w:cs="Times New Roman"/>
          <w:b/>
        </w:rPr>
        <w:t>8. SAMPLING</w:t>
      </w:r>
    </w:p>
    <w:p w:rsidR="00FC17A0" w:rsidRPr="00FC17A0" w:rsidRDefault="00FC17A0" w:rsidP="00843276">
      <w:pPr>
        <w:ind w:left="720" w:firstLine="720"/>
        <w:rPr>
          <w:rFonts w:cs="Times New Roman"/>
        </w:rPr>
      </w:pPr>
      <w:r w:rsidRPr="00FC17A0">
        <w:rPr>
          <w:rFonts w:cs="Times New Roman"/>
        </w:rPr>
        <w:t>The process, act and technique of acquiring a suitable sample which represents the population and allows determination of characteristics and attributes that can be generalized to the entire study population is called sampling (</w:t>
      </w:r>
      <w:proofErr w:type="spellStart"/>
      <w:r w:rsidRPr="00FC17A0">
        <w:rPr>
          <w:rFonts w:cs="Times New Roman"/>
        </w:rPr>
        <w:t>Mujere</w:t>
      </w:r>
      <w:proofErr w:type="spellEnd"/>
      <w:r w:rsidRPr="00FC17A0">
        <w:rPr>
          <w:rFonts w:cs="Times New Roman"/>
        </w:rPr>
        <w:t xml:space="preserve">, 2016). It is never practical to test a hypothesis on the entire study population due to issues with practicability, responsiveness, inaccessibility, time constraints, and accuracy (Ott, 1983; </w:t>
      </w:r>
      <w:proofErr w:type="spellStart"/>
      <w:r w:rsidRPr="00FC17A0">
        <w:rPr>
          <w:rFonts w:cs="Times New Roman"/>
        </w:rPr>
        <w:t>Taherdoost</w:t>
      </w:r>
      <w:proofErr w:type="spellEnd"/>
      <w:r w:rsidRPr="00FC17A0">
        <w:rPr>
          <w:rFonts w:cs="Times New Roman"/>
        </w:rPr>
        <w:t xml:space="preserve">, 2016). A sample frame can be selected to represent the population being studied and can allow focused research into outcomes generalizable to the entire population. </w:t>
      </w:r>
    </w:p>
    <w:p w:rsidR="00FC17A0" w:rsidRPr="00FC17A0" w:rsidRDefault="00FC17A0" w:rsidP="00843276">
      <w:pPr>
        <w:ind w:left="720" w:firstLine="720"/>
        <w:rPr>
          <w:rFonts w:cs="Times New Roman"/>
        </w:rPr>
      </w:pPr>
      <w:r w:rsidRPr="00FC17A0">
        <w:rPr>
          <w:rFonts w:cs="Times New Roman"/>
        </w:rPr>
        <w:t>There are a variety of sampling methods and sampling techniques described in literature which can allow the selection of sample that allows adequate testing of the validity of research objectives (</w:t>
      </w:r>
      <w:proofErr w:type="spellStart"/>
      <w:r w:rsidRPr="00FC17A0">
        <w:rPr>
          <w:rFonts w:cs="Times New Roman"/>
        </w:rPr>
        <w:t>Taherdoost</w:t>
      </w:r>
      <w:proofErr w:type="spellEnd"/>
      <w:r w:rsidRPr="00FC17A0">
        <w:rPr>
          <w:rFonts w:cs="Times New Roman"/>
        </w:rPr>
        <w:t>, 2016). Selection of a sample has economic advantages, is timesaving, is more accurate than a population census, and allows research in populations which are partially accessible (Mugo, 2002). Some of the major types of sampling are outlined in figure 3.2 (adapted from Bhardwaj, 2019).</w:t>
      </w:r>
    </w:p>
    <w:p w:rsidR="00FC17A0" w:rsidRPr="00FC17A0" w:rsidRDefault="00FC17A0" w:rsidP="00FC17A0">
      <w:pPr>
        <w:rPr>
          <w:rFonts w:cs="Times New Roman"/>
          <w:b/>
        </w:rPr>
      </w:pPr>
      <w:r w:rsidRPr="00FC17A0">
        <w:rPr>
          <w:rFonts w:cs="Times New Roman"/>
          <w:b/>
        </w:rPr>
        <w:lastRenderedPageBreak/>
        <w:t>Figure 3.2: Types of Sampling</w:t>
      </w:r>
    </w:p>
    <w:p w:rsidR="00FC17A0" w:rsidRPr="00FC17A0" w:rsidRDefault="00FC17A0" w:rsidP="00FC17A0">
      <w:pPr>
        <w:rPr>
          <w:rFonts w:cs="Times New Roman"/>
        </w:rPr>
      </w:pPr>
      <w:r w:rsidRPr="00FC17A0">
        <w:rPr>
          <w:rFonts w:cs="Times New Roman"/>
          <w:noProof/>
          <w:lang w:val="en-US"/>
        </w:rPr>
        <w:drawing>
          <wp:inline distT="0" distB="0" distL="0" distR="0">
            <wp:extent cx="3533775" cy="5734050"/>
            <wp:effectExtent l="0" t="0" r="9525" b="0"/>
            <wp:docPr id="844536478" name="Picture 3" descr="Figure 2: Types of samp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2: Types of sampli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33775" cy="5734050"/>
                    </a:xfrm>
                    <a:prstGeom prst="rect">
                      <a:avLst/>
                    </a:prstGeom>
                    <a:noFill/>
                    <a:ln>
                      <a:noFill/>
                    </a:ln>
                  </pic:spPr>
                </pic:pic>
              </a:graphicData>
            </a:graphic>
          </wp:inline>
        </w:drawing>
      </w:r>
    </w:p>
    <w:p w:rsidR="00FC17A0" w:rsidRPr="00FC17A0" w:rsidRDefault="00FC17A0" w:rsidP="00843276">
      <w:pPr>
        <w:ind w:left="720" w:firstLine="720"/>
        <w:rPr>
          <w:rFonts w:cs="Times New Roman"/>
        </w:rPr>
      </w:pPr>
      <w:r w:rsidRPr="00FC17A0">
        <w:rPr>
          <w:rFonts w:cs="Times New Roman"/>
        </w:rPr>
        <w:t xml:space="preserve">As defined above, the study population for the present research will include patients in the southern region of Saudi Arabia presenting to OPD facilities or clinics during the study duration. The methodology for extracting a relevant sample from this study population is briefly described below.  </w:t>
      </w:r>
    </w:p>
    <w:p w:rsidR="00FC17A0" w:rsidRPr="00FC17A0" w:rsidRDefault="00FC17A0" w:rsidP="00843276">
      <w:pPr>
        <w:ind w:firstLine="720"/>
        <w:rPr>
          <w:rFonts w:cs="Times New Roman"/>
          <w:i/>
          <w:iCs/>
        </w:rPr>
      </w:pPr>
      <w:r w:rsidRPr="00FC17A0">
        <w:rPr>
          <w:rFonts w:cs="Times New Roman"/>
          <w:i/>
          <w:iCs/>
        </w:rPr>
        <w:t>3.8.1. SAMPLING UNIT</w:t>
      </w:r>
    </w:p>
    <w:p w:rsidR="00FC17A0" w:rsidRPr="00FC17A0" w:rsidRDefault="00FC17A0" w:rsidP="00843276">
      <w:pPr>
        <w:ind w:left="720" w:firstLine="720"/>
        <w:rPr>
          <w:rFonts w:cs="Times New Roman"/>
        </w:rPr>
      </w:pPr>
      <w:r w:rsidRPr="00FC17A0">
        <w:rPr>
          <w:rFonts w:cs="Times New Roman"/>
        </w:rPr>
        <w:t xml:space="preserve">Sampling units represent elements of the population to be sampled (Brown, 2010). When aggregated together, they define the population for which inferences are drawn during the research. The sampling units are the elements from which data is collected and they serve as the units of analysis (Brown, 2010). They may include single elements from the population, or clusters of elements from the population. </w:t>
      </w:r>
    </w:p>
    <w:p w:rsidR="00FC17A0" w:rsidRPr="00FC17A0" w:rsidRDefault="00FC17A0" w:rsidP="00843276">
      <w:pPr>
        <w:ind w:left="720" w:firstLine="720"/>
        <w:rPr>
          <w:rFonts w:cs="Times New Roman"/>
        </w:rPr>
      </w:pPr>
      <w:r w:rsidRPr="00FC17A0">
        <w:rPr>
          <w:rFonts w:cs="Times New Roman"/>
        </w:rPr>
        <w:t xml:space="preserve">In the present study, the sampling unit will be individual patients who undergo measurement of observations. Thus, the sampling unit and unit of observations in the study will be the same i.e., patients themselves, who will undergo data collection through survey questionnaires. </w:t>
      </w:r>
    </w:p>
    <w:p w:rsidR="00FC17A0" w:rsidRPr="00FC17A0" w:rsidRDefault="00FC17A0" w:rsidP="00843276">
      <w:pPr>
        <w:ind w:firstLine="720"/>
        <w:rPr>
          <w:rFonts w:cs="Times New Roman"/>
          <w:i/>
          <w:iCs/>
        </w:rPr>
      </w:pPr>
      <w:r w:rsidRPr="00FC17A0">
        <w:rPr>
          <w:rFonts w:cs="Times New Roman"/>
          <w:i/>
          <w:iCs/>
        </w:rPr>
        <w:lastRenderedPageBreak/>
        <w:t>3.8.2. SAMPLING FRAME</w:t>
      </w:r>
    </w:p>
    <w:p w:rsidR="00FC17A0" w:rsidRPr="00FC17A0" w:rsidRDefault="00FC17A0" w:rsidP="00843276">
      <w:pPr>
        <w:ind w:left="720" w:firstLine="720"/>
        <w:rPr>
          <w:rFonts w:cs="Times New Roman"/>
        </w:rPr>
      </w:pPr>
      <w:r w:rsidRPr="00FC17A0">
        <w:rPr>
          <w:rFonts w:cs="Times New Roman"/>
        </w:rPr>
        <w:t xml:space="preserve">The sampling frame represents the list of sampling units from which the final sample is drawn (Brown, 2010; Sekaran &amp; Bougie, 2016). Perfect sampling frames do not have any extraneous or population-irrelevant elements, and only contain each element of the population listed only once and separately. Major problems that can occur with sampling frames include incomplete frames which do not include all available elements or sample units; clustered elements within a single frame; frames with blank or foreign listing; and duplication of elements in the frame (Kish, 1965). </w:t>
      </w:r>
    </w:p>
    <w:p w:rsidR="00FC17A0" w:rsidRPr="00FC17A0" w:rsidRDefault="00FC17A0" w:rsidP="00843276">
      <w:pPr>
        <w:ind w:left="720" w:firstLine="720"/>
        <w:rPr>
          <w:rFonts w:cs="Times New Roman"/>
        </w:rPr>
      </w:pPr>
      <w:r w:rsidRPr="00FC17A0">
        <w:rPr>
          <w:rFonts w:cs="Times New Roman"/>
        </w:rPr>
        <w:t>In this study, the analysis will be carried out at the level of patients presenting to the OPD facilities in hospitals in Southern Saudi Arabia. Therefore, the sampling frame will include all sampling units i.e., it will be composed of all the patients who present to the OPD facilities during the study duration and meet the inclusion criteria necessary for enrolment in the study. Patients were chosen as the sampling frame for this study since the most important dependent variable is patient satisfaction, which is directly attributable to the quality-of-care patients receive while they are in the hospital or in healthcare facilities.</w:t>
      </w:r>
    </w:p>
    <w:p w:rsidR="00FC17A0" w:rsidRPr="00FC17A0" w:rsidRDefault="00FC17A0" w:rsidP="00843276">
      <w:pPr>
        <w:ind w:firstLine="720"/>
        <w:rPr>
          <w:rFonts w:cs="Times New Roman"/>
          <w:i/>
          <w:iCs/>
        </w:rPr>
      </w:pPr>
      <w:r w:rsidRPr="00FC17A0">
        <w:rPr>
          <w:rFonts w:cs="Times New Roman"/>
          <w:i/>
          <w:iCs/>
        </w:rPr>
        <w:t>3.8.3. SAMPLE SIZE DETERMINATION</w:t>
      </w:r>
    </w:p>
    <w:p w:rsidR="00FC17A0" w:rsidRPr="00FC17A0" w:rsidRDefault="00FC17A0" w:rsidP="00843276">
      <w:pPr>
        <w:ind w:left="720" w:firstLine="720"/>
        <w:rPr>
          <w:rFonts w:cs="Times New Roman"/>
        </w:rPr>
      </w:pPr>
      <w:r w:rsidRPr="00FC17A0">
        <w:rPr>
          <w:rFonts w:cs="Times New Roman"/>
        </w:rPr>
        <w:t xml:space="preserve">Determining a sample size is a pivotal step in planning out a clinical study. The sample size needs to be calculated before conducting the clinical study to avoid bias in interpreting the results (Kadam &amp; Bhalerao, 2010). The sample size is dependent on several factors, such as the acceptable level of significance, expected effect size, power of the study, standard deviation in the population, and underlying event rate in the population; additional factors to be considered include the allocation ratio, expected drop-out rate, and objective and design of the study (Larsen et al., 1985). Failing to correctly calculate the sample size can result in inadequately sized study, which can fail in providing statistically significant results, and can be time and resource wasting (Nayak, 2010). </w:t>
      </w:r>
    </w:p>
    <w:p w:rsidR="00FC17A0" w:rsidRPr="00FC17A0" w:rsidRDefault="00FC17A0" w:rsidP="00843276">
      <w:pPr>
        <w:ind w:left="720" w:firstLine="720"/>
        <w:rPr>
          <w:rFonts w:cs="Times New Roman"/>
        </w:rPr>
      </w:pPr>
      <w:r w:rsidRPr="00FC17A0">
        <w:rPr>
          <w:rFonts w:cs="Times New Roman"/>
        </w:rPr>
        <w:t>There are several ways to calculate the sample size for any study. The sample size can be calculated using various statistical tests, or by using software specifically designed to calculate sample size. In the present study, sample size was determined by using an online calculator (</w:t>
      </w:r>
      <w:hyperlink r:id="rId34" w:history="1">
        <w:r w:rsidRPr="00FC17A0">
          <w:rPr>
            <w:rStyle w:val="Hyperlink"/>
            <w:rFonts w:cs="Times New Roman"/>
          </w:rPr>
          <w:t>https://www.openepi.com/SampleSize/SSPropor.htm</w:t>
        </w:r>
      </w:hyperlink>
      <w:r w:rsidRPr="00FC17A0">
        <w:rPr>
          <w:rFonts w:cs="Times New Roman"/>
        </w:rPr>
        <w:t xml:space="preserve">) to calculate the sample size for frequency in a population using the following formula: </w:t>
      </w:r>
    </w:p>
    <w:p w:rsidR="00FC17A0" w:rsidRPr="00FC17A0" w:rsidRDefault="00FC17A0" w:rsidP="00843276">
      <w:pPr>
        <w:ind w:left="720" w:firstLine="720"/>
        <w:rPr>
          <w:rFonts w:cs="Times New Roman"/>
          <w:b/>
        </w:rPr>
      </w:pPr>
      <w:r w:rsidRPr="00FC17A0">
        <w:rPr>
          <w:rFonts w:cs="Times New Roman"/>
          <w:b/>
        </w:rPr>
        <w:t>Sample size n = [DEFF*N*p(1-p)]/ [(d</w:t>
      </w:r>
      <w:r w:rsidRPr="00FC17A0">
        <w:rPr>
          <w:rFonts w:cs="Times New Roman"/>
          <w:b/>
          <w:vertAlign w:val="superscript"/>
        </w:rPr>
        <w:t>2</w:t>
      </w:r>
      <w:r w:rsidRPr="00FC17A0">
        <w:rPr>
          <w:rFonts w:cs="Times New Roman"/>
          <w:b/>
        </w:rPr>
        <w:t>/Z</w:t>
      </w:r>
      <w:r w:rsidRPr="00FC17A0">
        <w:rPr>
          <w:rFonts w:cs="Times New Roman"/>
          <w:b/>
          <w:vertAlign w:val="superscript"/>
        </w:rPr>
        <w:t>2</w:t>
      </w:r>
      <w:r w:rsidRPr="00FC17A0">
        <w:rPr>
          <w:rFonts w:cs="Times New Roman"/>
          <w:b/>
          <w:vertAlign w:val="subscript"/>
        </w:rPr>
        <w:t>1-α/2</w:t>
      </w:r>
      <w:r w:rsidRPr="00FC17A0">
        <w:rPr>
          <w:rFonts w:cs="Times New Roman"/>
          <w:b/>
        </w:rPr>
        <w:t>*(N-1) +p*(1-p)]</w:t>
      </w:r>
    </w:p>
    <w:p w:rsidR="00FC17A0" w:rsidRPr="00FC17A0" w:rsidRDefault="00FC17A0" w:rsidP="00843276">
      <w:pPr>
        <w:ind w:firstLine="720"/>
        <w:rPr>
          <w:rFonts w:cs="Times New Roman"/>
        </w:rPr>
      </w:pPr>
      <w:r w:rsidRPr="00FC17A0">
        <w:rPr>
          <w:rFonts w:cs="Times New Roman"/>
        </w:rPr>
        <w:t>Where:</w:t>
      </w:r>
    </w:p>
    <w:p w:rsidR="00FC17A0" w:rsidRPr="00FC17A0" w:rsidRDefault="00FC17A0" w:rsidP="00843276">
      <w:pPr>
        <w:ind w:firstLine="720"/>
        <w:rPr>
          <w:rFonts w:cs="Times New Roman"/>
          <w:i/>
        </w:rPr>
      </w:pPr>
      <w:r w:rsidRPr="00FC17A0">
        <w:rPr>
          <w:rFonts w:cs="Times New Roman"/>
          <w:i/>
        </w:rPr>
        <w:t xml:space="preserve">Population size (for finite population correction factor or </w:t>
      </w:r>
      <w:proofErr w:type="spellStart"/>
      <w:r w:rsidRPr="00FC17A0">
        <w:rPr>
          <w:rFonts w:cs="Times New Roman"/>
          <w:i/>
        </w:rPr>
        <w:t>fpc</w:t>
      </w:r>
      <w:proofErr w:type="spellEnd"/>
      <w:r w:rsidRPr="00FC17A0">
        <w:rPr>
          <w:rFonts w:cs="Times New Roman"/>
          <w:i/>
        </w:rPr>
        <w:t>) (N): 4837837</w:t>
      </w:r>
      <w:r w:rsidRPr="00FC17A0">
        <w:rPr>
          <w:rFonts w:cs="Times New Roman"/>
          <w:i/>
        </w:rPr>
        <w:tab/>
      </w:r>
    </w:p>
    <w:p w:rsidR="00FC17A0" w:rsidRPr="00FC17A0" w:rsidRDefault="00FC17A0" w:rsidP="00843276">
      <w:pPr>
        <w:ind w:firstLine="720"/>
        <w:rPr>
          <w:rFonts w:cs="Times New Roman"/>
          <w:i/>
        </w:rPr>
      </w:pPr>
      <w:r w:rsidRPr="00FC17A0">
        <w:rPr>
          <w:rFonts w:cs="Times New Roman"/>
          <w:i/>
        </w:rPr>
        <w:t>Hypothesized % frequency of outcome factor in the population (p):</w:t>
      </w:r>
      <w:r w:rsidRPr="00FC17A0">
        <w:rPr>
          <w:rFonts w:cs="Times New Roman"/>
          <w:i/>
        </w:rPr>
        <w:tab/>
        <w:t xml:space="preserve"> 50%+/-5.</w:t>
      </w:r>
    </w:p>
    <w:p w:rsidR="00FC17A0" w:rsidRPr="00FC17A0" w:rsidRDefault="00FC17A0" w:rsidP="00843276">
      <w:pPr>
        <w:ind w:firstLine="720"/>
        <w:rPr>
          <w:rFonts w:cs="Times New Roman"/>
          <w:i/>
        </w:rPr>
      </w:pPr>
      <w:r w:rsidRPr="00FC17A0">
        <w:rPr>
          <w:rFonts w:cs="Times New Roman"/>
          <w:i/>
        </w:rPr>
        <w:t>Confidence limits as % of 100 (absolute +/- %) (d): 5%</w:t>
      </w:r>
    </w:p>
    <w:p w:rsidR="00FC17A0" w:rsidRPr="00FC17A0" w:rsidRDefault="00FC17A0" w:rsidP="00843276">
      <w:pPr>
        <w:ind w:firstLine="720"/>
        <w:rPr>
          <w:rFonts w:cs="Times New Roman"/>
          <w:i/>
        </w:rPr>
      </w:pPr>
      <w:r w:rsidRPr="00FC17A0">
        <w:rPr>
          <w:rFonts w:cs="Times New Roman"/>
          <w:i/>
        </w:rPr>
        <w:lastRenderedPageBreak/>
        <w:t xml:space="preserve">Design effect (for cluster surveys-DEFF): 1 </w:t>
      </w:r>
    </w:p>
    <w:p w:rsidR="00FC17A0" w:rsidRPr="00FC17A0" w:rsidRDefault="00FC17A0" w:rsidP="00843276">
      <w:pPr>
        <w:ind w:left="720" w:firstLine="720"/>
        <w:rPr>
          <w:rFonts w:cs="Times New Roman"/>
        </w:rPr>
      </w:pPr>
      <w:r w:rsidRPr="00FC17A0">
        <w:rPr>
          <w:rFonts w:cs="Times New Roman"/>
        </w:rPr>
        <w:t xml:space="preserve">The total population of the Southern region (including Asir, Al-Baha, Najran, and Jizan regions) was determined to be around 4,837,837.  Using the online calculator, with a 95% confidence interval, Margin of Error 5%, Population Proportion 50%, and Population size of 4,837,837, and a sample size of 385 patients was calculated. For our cross-sectional study design, we will disseminate the questionnaire to 385 patients attending the outpatient facility who meet the inclusion criteria and consent to the study, with aim of achieving maximum sample size after accounting for lack of consent, incomplete questionnaire forms, and voluntary retractions from the study. </w:t>
      </w:r>
    </w:p>
    <w:p w:rsidR="00FC17A0" w:rsidRPr="00FC17A0" w:rsidRDefault="00FC17A0" w:rsidP="00843276">
      <w:pPr>
        <w:ind w:left="720" w:firstLine="720"/>
        <w:rPr>
          <w:rFonts w:cs="Times New Roman"/>
        </w:rPr>
      </w:pPr>
      <w:r w:rsidRPr="00FC17A0">
        <w:rPr>
          <w:rFonts w:cs="Times New Roman"/>
        </w:rPr>
        <w:t>There are no single defined criteria to determine the adequacy of the sample size. A sufficient sample size is one with the minimum number of participants required to identify any statistically significant difference, given that this difference truly exists in the study population (Burmeister &amp; Aitken, 2019). It has been suggested by Comrey and Lee (1992) that sample sizes of less than 50 participants are weak, while sample sizes exceeding 100 or 200 may be adequate or good respectively. Even though randomly allocating a number as good has not been shown to be scientifically credible, our study’s sample size which has been calculated keeping in view the effect sizes, margin of error, and population proportion is reasonable enough to allow calculation of the study outcomes.</w:t>
      </w:r>
    </w:p>
    <w:p w:rsidR="00FC17A0" w:rsidRPr="00FC17A0" w:rsidRDefault="00FC17A0" w:rsidP="00843276">
      <w:pPr>
        <w:ind w:firstLine="720"/>
        <w:rPr>
          <w:rFonts w:cs="Times New Roman"/>
          <w:i/>
          <w:iCs/>
        </w:rPr>
      </w:pPr>
      <w:r w:rsidRPr="00FC17A0">
        <w:rPr>
          <w:rFonts w:cs="Times New Roman"/>
        </w:rPr>
        <w:t>3.</w:t>
      </w:r>
      <w:r w:rsidRPr="00FC17A0">
        <w:rPr>
          <w:rFonts w:cs="Times New Roman"/>
          <w:i/>
          <w:iCs/>
        </w:rPr>
        <w:t>8.4. SAMPLING TECHNIQUE</w:t>
      </w:r>
    </w:p>
    <w:p w:rsidR="00FC17A0" w:rsidRPr="00FC17A0" w:rsidRDefault="00FC17A0" w:rsidP="00843276">
      <w:pPr>
        <w:ind w:left="720" w:firstLine="720"/>
        <w:rPr>
          <w:rFonts w:cs="Times New Roman"/>
        </w:rPr>
      </w:pPr>
      <w:r w:rsidRPr="00FC17A0">
        <w:rPr>
          <w:rFonts w:cs="Times New Roman"/>
        </w:rPr>
        <w:t>After the establishment of a sampling frame and calculation of the sample size, it is essential to determine a sample selection process. This depends on the study purpose, timeframe, resources, sample structure, and also upon the list from the sampling frame (Brown, 2010). This selection process can rely on either of probability or non-probability approaches, as highlighted previously in figure 3.2.</w:t>
      </w:r>
    </w:p>
    <w:p w:rsidR="00FC17A0" w:rsidRPr="00FC17A0" w:rsidRDefault="00FC17A0" w:rsidP="00843276">
      <w:pPr>
        <w:ind w:left="720" w:firstLine="720"/>
        <w:rPr>
          <w:rFonts w:cs="Times New Roman"/>
        </w:rPr>
      </w:pPr>
      <w:r w:rsidRPr="00FC17A0">
        <w:rPr>
          <w:rFonts w:cs="Times New Roman"/>
        </w:rPr>
        <w:t xml:space="preserve">In probability sampling, each element in the population has a known and nonzero probability of being included in the sample (Brown, 2010). Probability sampling is highly based on random selection, which can be achieved through a variety of procedures such as random-number generators or random-number tables, thereby reducing selection bias during randomization (Kish, 1965). </w:t>
      </w:r>
      <w:r w:rsidR="00E1139B" w:rsidRPr="00E1139B">
        <w:rPr>
          <w:rFonts w:cs="Times New Roman"/>
        </w:rPr>
        <w:t>Simple random sampling, stratified random sampling, systematic sampling, cluster sampling, multistage sampling, and proportionate sampling are the main categories of probability sampling</w:t>
      </w:r>
      <w:r w:rsidRPr="00FC17A0">
        <w:rPr>
          <w:rFonts w:cs="Times New Roman"/>
        </w:rPr>
        <w:t>. Probability sampling allows for the development of statistical theories to examine the properties of sample estimators (</w:t>
      </w:r>
      <w:proofErr w:type="spellStart"/>
      <w:r w:rsidRPr="00FC17A0">
        <w:rPr>
          <w:rFonts w:cs="Times New Roman"/>
        </w:rPr>
        <w:t>Kalton</w:t>
      </w:r>
      <w:proofErr w:type="spellEnd"/>
      <w:r w:rsidRPr="00FC17A0">
        <w:rPr>
          <w:rFonts w:cs="Times New Roman"/>
        </w:rPr>
        <w:t xml:space="preserve">, 1983). However, this type of sampling is expensive and time-consuming, and is not frequently possible in social sciences research because a list of everyone in the study population may not be available (Wilson, 2014). </w:t>
      </w:r>
    </w:p>
    <w:p w:rsidR="00FC17A0" w:rsidRPr="00FC17A0" w:rsidRDefault="00FC17A0" w:rsidP="00843276">
      <w:pPr>
        <w:ind w:left="720" w:firstLine="720"/>
        <w:rPr>
          <w:rFonts w:cs="Times New Roman"/>
        </w:rPr>
      </w:pPr>
      <w:r w:rsidRPr="00FC17A0">
        <w:rPr>
          <w:rFonts w:cs="Times New Roman"/>
        </w:rPr>
        <w:t xml:space="preserve">Non-probability sampling techniques are widely used in social sciences research (Brown, 2010), and refer to any method for collecting survey data which does not utilize a full probability-sampling design (Forster, 2001). These techniques have the advantage of being able to target specific groups in the population; they are also less expensive and less time-consuming and are especially </w:t>
      </w:r>
      <w:r w:rsidRPr="00FC17A0">
        <w:rPr>
          <w:rFonts w:cs="Times New Roman"/>
        </w:rPr>
        <w:lastRenderedPageBreak/>
        <w:t xml:space="preserve">important in survey studies where probability sampling studies can have characteristically poor response rates (Galloway, 2005).   </w:t>
      </w:r>
    </w:p>
    <w:p w:rsidR="00FC17A0" w:rsidRPr="00FC17A0" w:rsidRDefault="00FC17A0" w:rsidP="00843276">
      <w:pPr>
        <w:ind w:left="720" w:firstLine="720"/>
        <w:rPr>
          <w:rFonts w:cs="Times New Roman"/>
        </w:rPr>
      </w:pPr>
      <w:r w:rsidRPr="00FC17A0">
        <w:rPr>
          <w:rFonts w:cs="Times New Roman"/>
        </w:rPr>
        <w:t>There are different types of non-probability sampling techniques. These include convenience sampling, purposive sampling, quota sampling, and snowball sampling. Convenience sampling is based on sample selection from readily available participants, whereas in purposive sampling, certain characteristics in the population are sought out before selection of the sample (Brown, 2010). Quota sampling is the non-probability variant of stratified random sampling, in which the population is divided into different strata, each with a fixed quota, and sampling is continued till the quota for each stratum is filled (Glasgow, 2005). Snowball sampling relies on snowballing the sample from a single good participant and is generally used for studies which have a very limited population to choose participants from (</w:t>
      </w:r>
      <w:proofErr w:type="spellStart"/>
      <w:r w:rsidRPr="00FC17A0">
        <w:rPr>
          <w:rFonts w:cs="Times New Roman"/>
        </w:rPr>
        <w:t>Wislon</w:t>
      </w:r>
      <w:proofErr w:type="spellEnd"/>
      <w:r w:rsidRPr="00FC17A0">
        <w:rPr>
          <w:rFonts w:cs="Times New Roman"/>
        </w:rPr>
        <w:t xml:space="preserve">, 2014). </w:t>
      </w:r>
    </w:p>
    <w:p w:rsidR="00FC17A0" w:rsidRPr="00FC17A0" w:rsidRDefault="00FC17A0" w:rsidP="00843276">
      <w:pPr>
        <w:ind w:left="720" w:firstLine="720"/>
        <w:rPr>
          <w:rFonts w:cs="Times New Roman"/>
        </w:rPr>
      </w:pPr>
      <w:r w:rsidRPr="00FC17A0">
        <w:rPr>
          <w:rFonts w:cs="Times New Roman"/>
        </w:rPr>
        <w:t>Non-probability purposive sampling technique will be used to select sample for the study. This technique will be used because our study employs a survey study design, in which the entire population cannot be listed to divide into strata. Furthermore, our study will involve only patients who conform to the inclusion criteria and will be limited to a specific healthcare setting. Patients who present in the outpatient facility are already designated to adult vs paediatric areas. This will help to exclude paediatric patients. For adult patients, computerized or paper record will be checked to determine the frequency of their visits in the previous 6 months. This will ensure that only patients who fit the inclusion criteria are included in the sample.</w:t>
      </w:r>
    </w:p>
    <w:p w:rsidR="00FC17A0" w:rsidRPr="00FC17A0" w:rsidRDefault="00FC17A0" w:rsidP="00843276">
      <w:pPr>
        <w:ind w:left="720" w:firstLine="720"/>
        <w:rPr>
          <w:rFonts w:cs="Times New Roman"/>
        </w:rPr>
      </w:pPr>
      <w:r w:rsidRPr="00FC17A0">
        <w:rPr>
          <w:rFonts w:cs="Times New Roman"/>
        </w:rPr>
        <w:t xml:space="preserve">Patients who fulfil initial screening criteria will be explained regarding the study outcomes and objectives, and those who agree to participate will undertake written informed consent. The patients will be explained that they will be filling a quantitative survey </w:t>
      </w:r>
      <w:proofErr w:type="spellStart"/>
      <w:r w:rsidRPr="00FC17A0">
        <w:rPr>
          <w:rFonts w:cs="Times New Roman"/>
        </w:rPr>
        <w:t>performa</w:t>
      </w:r>
      <w:proofErr w:type="spellEnd"/>
      <w:r w:rsidRPr="00FC17A0">
        <w:rPr>
          <w:rFonts w:cs="Times New Roman"/>
        </w:rPr>
        <w:t xml:space="preserve"> to determine their viewpoint of technology efficiency and its role in improving patient care services in outpatient facilities.</w:t>
      </w:r>
    </w:p>
    <w:p w:rsidR="00FC17A0" w:rsidRPr="00FC17A0" w:rsidRDefault="00FC17A0" w:rsidP="00843276">
      <w:pPr>
        <w:ind w:firstLine="720"/>
        <w:rPr>
          <w:rFonts w:cs="Times New Roman"/>
          <w:b/>
        </w:rPr>
      </w:pPr>
      <w:r w:rsidRPr="00FC17A0">
        <w:rPr>
          <w:rFonts w:cs="Times New Roman"/>
          <w:b/>
        </w:rPr>
        <w:t>3.9. STUDY DURATION</w:t>
      </w:r>
    </w:p>
    <w:p w:rsidR="00FC17A0" w:rsidRPr="00FC17A0" w:rsidRDefault="00FC17A0" w:rsidP="00843276">
      <w:pPr>
        <w:ind w:left="720" w:firstLine="720"/>
        <w:rPr>
          <w:rFonts w:cs="Times New Roman"/>
        </w:rPr>
      </w:pPr>
      <w:r w:rsidRPr="00FC17A0">
        <w:rPr>
          <w:rFonts w:cs="Times New Roman"/>
        </w:rPr>
        <w:t>The study duration will be six months after approval from the institutional review board. The period will be divided into different phases i.e., data collection, data analysis, manuscript writing, and manuscript review and approval.</w:t>
      </w:r>
    </w:p>
    <w:p w:rsidR="00FC17A0" w:rsidRPr="00FC17A0" w:rsidRDefault="00FC17A0" w:rsidP="00843276">
      <w:pPr>
        <w:ind w:firstLine="720"/>
        <w:rPr>
          <w:rFonts w:cs="Times New Roman"/>
          <w:b/>
        </w:rPr>
      </w:pPr>
      <w:r w:rsidRPr="00FC17A0">
        <w:rPr>
          <w:rFonts w:cs="Times New Roman"/>
          <w:b/>
        </w:rPr>
        <w:t>3.10. VARIABLES AND MEASUREMENTS</w:t>
      </w:r>
    </w:p>
    <w:p w:rsidR="00FC17A0" w:rsidRPr="00FC17A0" w:rsidRDefault="00FC17A0" w:rsidP="00843276">
      <w:pPr>
        <w:ind w:firstLine="720"/>
        <w:rPr>
          <w:rFonts w:cs="Times New Roman"/>
        </w:rPr>
      </w:pPr>
      <w:r w:rsidRPr="00FC17A0">
        <w:rPr>
          <w:rFonts w:cs="Times New Roman"/>
        </w:rPr>
        <w:t>The variables used in the study will include the following:</w:t>
      </w:r>
    </w:p>
    <w:p w:rsidR="00FC17A0" w:rsidRPr="00FC17A0" w:rsidRDefault="00FC17A0" w:rsidP="00FC17A0">
      <w:pPr>
        <w:numPr>
          <w:ilvl w:val="0"/>
          <w:numId w:val="11"/>
        </w:numPr>
        <w:rPr>
          <w:rFonts w:cs="Times New Roman"/>
        </w:rPr>
      </w:pPr>
      <w:r w:rsidRPr="00FC17A0">
        <w:rPr>
          <w:rFonts w:cs="Times New Roman"/>
        </w:rPr>
        <w:t>Dependent variables: These represent the outcome of the experiment and are affected by changes in the independent variables. In our study the dependent variables are:</w:t>
      </w:r>
    </w:p>
    <w:p w:rsidR="00FC17A0" w:rsidRPr="00FC17A0" w:rsidRDefault="00FC17A0" w:rsidP="00FC17A0">
      <w:pPr>
        <w:numPr>
          <w:ilvl w:val="1"/>
          <w:numId w:val="11"/>
        </w:numPr>
        <w:rPr>
          <w:rFonts w:cs="Times New Roman"/>
        </w:rPr>
      </w:pPr>
      <w:r w:rsidRPr="00FC17A0">
        <w:rPr>
          <w:rFonts w:cs="Times New Roman"/>
        </w:rPr>
        <w:t>Patient education</w:t>
      </w:r>
    </w:p>
    <w:p w:rsidR="00FC17A0" w:rsidRPr="00FC17A0" w:rsidRDefault="00FC17A0" w:rsidP="00FC17A0">
      <w:pPr>
        <w:numPr>
          <w:ilvl w:val="1"/>
          <w:numId w:val="11"/>
        </w:numPr>
        <w:rPr>
          <w:rFonts w:cs="Times New Roman"/>
        </w:rPr>
      </w:pPr>
      <w:r w:rsidRPr="00FC17A0">
        <w:rPr>
          <w:rFonts w:cs="Times New Roman"/>
        </w:rPr>
        <w:t>Digital health tools in patient care</w:t>
      </w:r>
    </w:p>
    <w:p w:rsidR="00FC17A0" w:rsidRPr="00FC17A0" w:rsidRDefault="00FC17A0" w:rsidP="00FC17A0">
      <w:pPr>
        <w:numPr>
          <w:ilvl w:val="1"/>
          <w:numId w:val="11"/>
        </w:numPr>
        <w:rPr>
          <w:rFonts w:cs="Times New Roman"/>
        </w:rPr>
      </w:pPr>
      <w:r w:rsidRPr="00FC17A0">
        <w:rPr>
          <w:rFonts w:cs="Times New Roman"/>
        </w:rPr>
        <w:lastRenderedPageBreak/>
        <w:t>Patient satisfaction in terms of convenience, courtesy and quality of care</w:t>
      </w:r>
    </w:p>
    <w:p w:rsidR="00FC17A0" w:rsidRPr="00FC17A0" w:rsidRDefault="00FC17A0" w:rsidP="00FC17A0">
      <w:pPr>
        <w:numPr>
          <w:ilvl w:val="0"/>
          <w:numId w:val="11"/>
        </w:numPr>
        <w:rPr>
          <w:rFonts w:cs="Times New Roman"/>
        </w:rPr>
      </w:pPr>
      <w:r w:rsidRPr="00FC17A0">
        <w:rPr>
          <w:rFonts w:cs="Times New Roman"/>
        </w:rPr>
        <w:t>Moderating Variables: These variables define and influence the strength of the relationship between dependent and independent variables. The moderating variable in our study will be technology efficiency, which will be measured for its moderating effects as well as for its direct effects as an independent variable on patient satisfaction.</w:t>
      </w:r>
    </w:p>
    <w:p w:rsidR="00FC17A0" w:rsidRPr="00FC17A0" w:rsidRDefault="00FC17A0" w:rsidP="00FC17A0">
      <w:pPr>
        <w:numPr>
          <w:ilvl w:val="0"/>
          <w:numId w:val="11"/>
        </w:numPr>
        <w:rPr>
          <w:rFonts w:cs="Times New Roman"/>
        </w:rPr>
      </w:pPr>
      <w:r w:rsidRPr="00FC17A0">
        <w:rPr>
          <w:rFonts w:cs="Times New Roman"/>
        </w:rPr>
        <w:t>Independent Variables: These are the variables influencing the dependent variables, and in our study will include the following:</w:t>
      </w:r>
    </w:p>
    <w:p w:rsidR="00FC17A0" w:rsidRPr="00FC17A0" w:rsidRDefault="00FC17A0" w:rsidP="00FC17A0">
      <w:pPr>
        <w:numPr>
          <w:ilvl w:val="1"/>
          <w:numId w:val="11"/>
        </w:numPr>
        <w:rPr>
          <w:rFonts w:cs="Times New Roman"/>
        </w:rPr>
      </w:pPr>
      <w:r w:rsidRPr="00FC17A0">
        <w:rPr>
          <w:rFonts w:cs="Times New Roman"/>
        </w:rPr>
        <w:t>Patient’s experience towards OPD’s services and facilities, in terms of registration services, physician services, nursing, physical facilities and pharmacy services.</w:t>
      </w:r>
    </w:p>
    <w:p w:rsidR="00FC17A0" w:rsidRPr="00FC17A0" w:rsidRDefault="00FC17A0" w:rsidP="00FC17A0">
      <w:pPr>
        <w:numPr>
          <w:ilvl w:val="1"/>
          <w:numId w:val="11"/>
        </w:numPr>
        <w:rPr>
          <w:rFonts w:cs="Times New Roman"/>
        </w:rPr>
      </w:pPr>
      <w:r w:rsidRPr="00FC17A0">
        <w:rPr>
          <w:rFonts w:cs="Times New Roman"/>
        </w:rPr>
        <w:t>Waiting times in the OPD to receive services and facilities.</w:t>
      </w:r>
    </w:p>
    <w:p w:rsidR="00FC17A0" w:rsidRPr="00FC17A0" w:rsidRDefault="00FC17A0" w:rsidP="00FC17A0">
      <w:pPr>
        <w:numPr>
          <w:ilvl w:val="1"/>
          <w:numId w:val="11"/>
        </w:numPr>
        <w:rPr>
          <w:rFonts w:cs="Times New Roman"/>
        </w:rPr>
      </w:pPr>
      <w:r w:rsidRPr="00FC17A0">
        <w:rPr>
          <w:rFonts w:cs="Times New Roman"/>
        </w:rPr>
        <w:t>Effective working schedules and procedures for OPD services and facilities</w:t>
      </w:r>
    </w:p>
    <w:p w:rsidR="00FC17A0" w:rsidRPr="00FC17A0" w:rsidRDefault="00FC17A0" w:rsidP="00E1139B">
      <w:pPr>
        <w:ind w:left="720" w:firstLine="720"/>
        <w:rPr>
          <w:rFonts w:cs="Times New Roman"/>
        </w:rPr>
      </w:pPr>
      <w:r w:rsidRPr="00FC17A0">
        <w:rPr>
          <w:rFonts w:cs="Times New Roman"/>
        </w:rPr>
        <w:t>Measurements of variables will be done through patient surveys by the use of validated data collection instruments and tools. The purpose of these tools is to quantify the measurement of variables, such that the relationships between variables can be expressed objectively in order to highlight significant associations that can then influence clinical recommendations and ultimately healthcare practices. Details about the measurement of variables and use of various data collection instruments and tools are provided in sections 3.11 and 3.12.</w:t>
      </w:r>
    </w:p>
    <w:p w:rsidR="00FC17A0" w:rsidRPr="00FC17A0" w:rsidRDefault="00FC17A0" w:rsidP="00E1139B">
      <w:pPr>
        <w:ind w:firstLine="720"/>
        <w:rPr>
          <w:rFonts w:cs="Times New Roman"/>
          <w:b/>
        </w:rPr>
      </w:pPr>
      <w:r w:rsidRPr="00FC17A0">
        <w:rPr>
          <w:rFonts w:cs="Times New Roman"/>
          <w:b/>
        </w:rPr>
        <w:t>3.11. DEVELOPING THE QUESTIONNAIRE</w:t>
      </w:r>
    </w:p>
    <w:p w:rsidR="00FC17A0" w:rsidRPr="00FC17A0" w:rsidRDefault="00FC17A0" w:rsidP="00E1139B">
      <w:pPr>
        <w:ind w:left="360" w:firstLine="720"/>
        <w:rPr>
          <w:rFonts w:cs="Times New Roman"/>
        </w:rPr>
      </w:pPr>
      <w:r w:rsidRPr="00FC17A0">
        <w:rPr>
          <w:rFonts w:cs="Times New Roman"/>
        </w:rPr>
        <w:t>Questionnaire development will be performed by the lead researcher under supervision of the supervisor. The aim of developing the questionnaire would be to robustly determine the research objectives to answer research questions in an effective manner. For this purpose, questionnaire development will take place in two phases:</w:t>
      </w:r>
    </w:p>
    <w:p w:rsidR="00FC17A0" w:rsidRPr="00FC17A0" w:rsidRDefault="00FC17A0" w:rsidP="00FC17A0">
      <w:pPr>
        <w:numPr>
          <w:ilvl w:val="0"/>
          <w:numId w:val="12"/>
        </w:numPr>
        <w:rPr>
          <w:rFonts w:cs="Times New Roman"/>
        </w:rPr>
      </w:pPr>
      <w:r w:rsidRPr="00FC17A0">
        <w:rPr>
          <w:rFonts w:cs="Times New Roman"/>
        </w:rPr>
        <w:t>Initially, a questionnaire will be developed to determine patient demographic details, as well as assess their satisfaction with healthcare services and their evaluation of technology efficiency in line with the research objectives. This questionnaire will undergo pilot testing (as detailed in section 3.13) to check its application for study population and to remove any questionnaire items that may not be valid or reliable for the study population.</w:t>
      </w:r>
    </w:p>
    <w:p w:rsidR="00FC17A0" w:rsidRPr="00FC17A0" w:rsidRDefault="00FC17A0" w:rsidP="00FC17A0">
      <w:pPr>
        <w:numPr>
          <w:ilvl w:val="0"/>
          <w:numId w:val="12"/>
        </w:numPr>
        <w:rPr>
          <w:rFonts w:cs="Times New Roman"/>
        </w:rPr>
      </w:pPr>
      <w:r w:rsidRPr="00FC17A0">
        <w:rPr>
          <w:rFonts w:cs="Times New Roman"/>
        </w:rPr>
        <w:t>After pilot testing, the final approved version of the questionnaire will be utilized to conduct the cross-sectional research and to answer the research questions.</w:t>
      </w:r>
    </w:p>
    <w:p w:rsidR="00FC17A0" w:rsidRPr="00FC17A0" w:rsidRDefault="00FC17A0" w:rsidP="00E1139B">
      <w:pPr>
        <w:ind w:left="720" w:firstLine="720"/>
        <w:rPr>
          <w:rFonts w:cs="Times New Roman"/>
        </w:rPr>
      </w:pPr>
      <w:r w:rsidRPr="00FC17A0">
        <w:rPr>
          <w:rFonts w:cs="Times New Roman"/>
        </w:rPr>
        <w:t xml:space="preserve">Section 3.12 describes in detail the data collection methods and instruments that will be utilized to formulate the questionnaire for the study. </w:t>
      </w:r>
    </w:p>
    <w:p w:rsidR="00FC17A0" w:rsidRPr="00FC17A0" w:rsidRDefault="00FC17A0" w:rsidP="00E1139B">
      <w:pPr>
        <w:ind w:firstLine="720"/>
        <w:rPr>
          <w:rFonts w:cs="Times New Roman"/>
          <w:b/>
        </w:rPr>
      </w:pPr>
      <w:r w:rsidRPr="00FC17A0">
        <w:rPr>
          <w:rFonts w:cs="Times New Roman"/>
          <w:b/>
        </w:rPr>
        <w:t>3.12. DATA COLLECTION METHODS AND INSTRUMENTS</w:t>
      </w:r>
    </w:p>
    <w:p w:rsidR="00FC17A0" w:rsidRPr="00FC17A0" w:rsidRDefault="00FC17A0" w:rsidP="00E1139B">
      <w:pPr>
        <w:ind w:left="720" w:firstLine="720"/>
        <w:rPr>
          <w:rFonts w:cs="Times New Roman"/>
        </w:rPr>
      </w:pPr>
      <w:r w:rsidRPr="00FC17A0">
        <w:rPr>
          <w:rFonts w:cs="Times New Roman"/>
        </w:rPr>
        <w:lastRenderedPageBreak/>
        <w:t xml:space="preserve">A written survey form consisting of validated questionnaire items (as detailed below) will be developed (Section 3.13). Patients who meet the inclusion criteria will be explained about the study outcomes and objectives at the end of their clinic visit. Those who agree to participate will be required to provide written consent on an informed consent form (Annexure I), with the understanding that their participation will be voluntary and amenable to withdrawal at any time. Participants who consent will be provided with the questionnaire </w:t>
      </w:r>
      <w:proofErr w:type="spellStart"/>
      <w:r w:rsidRPr="00FC17A0">
        <w:rPr>
          <w:rFonts w:cs="Times New Roman"/>
        </w:rPr>
        <w:t>performa</w:t>
      </w:r>
      <w:proofErr w:type="spellEnd"/>
      <w:r w:rsidRPr="00FC17A0">
        <w:rPr>
          <w:rFonts w:cs="Times New Roman"/>
        </w:rPr>
        <w:t xml:space="preserve">, and a member of the research team will be available on site to explain any survey items if needed. The </w:t>
      </w:r>
      <w:proofErr w:type="spellStart"/>
      <w:r w:rsidRPr="00FC17A0">
        <w:rPr>
          <w:rFonts w:cs="Times New Roman"/>
        </w:rPr>
        <w:t>performa</w:t>
      </w:r>
      <w:proofErr w:type="spellEnd"/>
      <w:r w:rsidRPr="00FC17A0">
        <w:rPr>
          <w:rFonts w:cs="Times New Roman"/>
        </w:rPr>
        <w:t xml:space="preserve"> will include demographic details, including name, age, gender, marital status, income, family size, the outpatient clinic or department, and the name of the healthcare facility where the </w:t>
      </w:r>
      <w:proofErr w:type="spellStart"/>
      <w:r w:rsidRPr="00FC17A0">
        <w:rPr>
          <w:rFonts w:cs="Times New Roman"/>
        </w:rPr>
        <w:t>performa</w:t>
      </w:r>
      <w:proofErr w:type="spellEnd"/>
      <w:r w:rsidRPr="00FC17A0">
        <w:rPr>
          <w:rFonts w:cs="Times New Roman"/>
        </w:rPr>
        <w:t xml:space="preserve"> is being administered. This will be followed by various validated instruments catering to different aspects of the study objective. To ensure completeness in filling of forms, a member of the research team or clinic personnel will check the </w:t>
      </w:r>
      <w:proofErr w:type="spellStart"/>
      <w:r w:rsidRPr="00FC17A0">
        <w:rPr>
          <w:rFonts w:cs="Times New Roman"/>
        </w:rPr>
        <w:t>performa</w:t>
      </w:r>
      <w:proofErr w:type="spellEnd"/>
      <w:r w:rsidRPr="00FC17A0">
        <w:rPr>
          <w:rFonts w:cs="Times New Roman"/>
        </w:rPr>
        <w:t xml:space="preserve"> and request the participants to complete any missing details. The survey responses will be transcribed as a Microsoft Excel sheet, and the data will be transferred to SPSS software version 26 to perform data analysis. </w:t>
      </w:r>
    </w:p>
    <w:p w:rsidR="00FC17A0" w:rsidRPr="00FC17A0" w:rsidRDefault="00FC17A0" w:rsidP="00FC17A0">
      <w:pPr>
        <w:rPr>
          <w:rFonts w:cs="Times New Roman"/>
        </w:rPr>
      </w:pPr>
    </w:p>
    <w:p w:rsidR="00FC17A0" w:rsidRPr="00FC17A0" w:rsidRDefault="00FC17A0" w:rsidP="00E1139B">
      <w:pPr>
        <w:ind w:firstLine="720"/>
        <w:rPr>
          <w:rFonts w:cs="Times New Roman"/>
        </w:rPr>
      </w:pPr>
      <w:r w:rsidRPr="00FC17A0">
        <w:rPr>
          <w:rFonts w:cs="Times New Roman"/>
        </w:rPr>
        <w:t>Table 3.2 summarizes the data collection instruments that will be utilized for the study.</w:t>
      </w:r>
    </w:p>
    <w:p w:rsidR="00FC17A0" w:rsidRPr="00FC17A0" w:rsidRDefault="00FC17A0" w:rsidP="00FC17A0">
      <w:pPr>
        <w:rPr>
          <w:rFonts w:cs="Times New Roman"/>
          <w:b/>
        </w:rPr>
      </w:pPr>
      <w:r w:rsidRPr="00FC17A0">
        <w:rPr>
          <w:rFonts w:cs="Times New Roman"/>
          <w:b/>
        </w:rPr>
        <w:t>Table 3.2: Data Collection Instruments</w:t>
      </w:r>
    </w:p>
    <w:tbl>
      <w:tblPr>
        <w:tblStyle w:val="GridTable1Light"/>
        <w:tblW w:w="0" w:type="auto"/>
        <w:tblLook w:val="04A0" w:firstRow="1" w:lastRow="0" w:firstColumn="1" w:lastColumn="0" w:noHBand="0" w:noVBand="1"/>
      </w:tblPr>
      <w:tblGrid>
        <w:gridCol w:w="1611"/>
        <w:gridCol w:w="1670"/>
        <w:gridCol w:w="6069"/>
      </w:tblGrid>
      <w:tr w:rsidR="00FC17A0" w:rsidRPr="00FC17A0" w:rsidTr="00FC1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999999" w:themeColor="text1" w:themeTint="66"/>
              <w:left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Objectives</w:t>
            </w:r>
          </w:p>
        </w:tc>
        <w:tc>
          <w:tcPr>
            <w:tcW w:w="1670" w:type="dxa"/>
            <w:tcBorders>
              <w:top w:val="single" w:sz="4" w:space="0" w:color="999999" w:themeColor="text1" w:themeTint="66"/>
              <w:left w:val="single" w:sz="4" w:space="0" w:color="999999" w:themeColor="text1" w:themeTint="66"/>
              <w:right w:val="single" w:sz="4" w:space="0" w:color="999999" w:themeColor="text1" w:themeTint="66"/>
            </w:tcBorders>
            <w:hideMark/>
          </w:tcPr>
          <w:p w:rsidR="00FC17A0" w:rsidRPr="00FC17A0" w:rsidRDefault="00FC17A0" w:rsidP="00FC17A0">
            <w:pPr>
              <w:spacing w:after="160"/>
              <w:cnfStyle w:val="100000000000" w:firstRow="1" w:lastRow="0" w:firstColumn="0" w:lastColumn="0" w:oddVBand="0" w:evenVBand="0" w:oddHBand="0" w:evenHBand="0" w:firstRowFirstColumn="0" w:firstRowLastColumn="0" w:lastRowFirstColumn="0" w:lastRowLastColumn="0"/>
              <w:rPr>
                <w:rFonts w:cs="Times New Roman"/>
              </w:rPr>
            </w:pPr>
            <w:r w:rsidRPr="00FC17A0">
              <w:rPr>
                <w:rFonts w:cs="Times New Roman"/>
              </w:rPr>
              <w:t>Questionnaire Used</w:t>
            </w:r>
          </w:p>
        </w:tc>
        <w:tc>
          <w:tcPr>
            <w:tcW w:w="6069" w:type="dxa"/>
            <w:tcBorders>
              <w:top w:val="single" w:sz="4" w:space="0" w:color="999999" w:themeColor="text1" w:themeTint="66"/>
              <w:left w:val="single" w:sz="4" w:space="0" w:color="999999" w:themeColor="text1" w:themeTint="66"/>
              <w:right w:val="single" w:sz="4" w:space="0" w:color="999999" w:themeColor="text1" w:themeTint="66"/>
            </w:tcBorders>
            <w:hideMark/>
          </w:tcPr>
          <w:p w:rsidR="00FC17A0" w:rsidRPr="00FC17A0" w:rsidRDefault="00FC17A0" w:rsidP="00FC17A0">
            <w:pPr>
              <w:spacing w:after="160"/>
              <w:cnfStyle w:val="100000000000" w:firstRow="1" w:lastRow="0" w:firstColumn="0" w:lastColumn="0" w:oddVBand="0" w:evenVBand="0" w:oddHBand="0" w:evenHBand="0" w:firstRowFirstColumn="0" w:firstRowLastColumn="0" w:lastRowFirstColumn="0" w:lastRowLastColumn="0"/>
              <w:rPr>
                <w:rFonts w:cs="Times New Roman"/>
              </w:rPr>
            </w:pPr>
            <w:r w:rsidRPr="00FC17A0">
              <w:rPr>
                <w:rFonts w:cs="Times New Roman"/>
              </w:rPr>
              <w:t>Reference</w:t>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Role of health-information technology</w:t>
            </w:r>
          </w:p>
        </w:tc>
        <w:tc>
          <w:tcPr>
            <w:tcW w:w="16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Health IT Patient Satisfaction Survey</w:t>
            </w:r>
          </w:p>
        </w:tc>
        <w:tc>
          <w:tcPr>
            <w:tcW w:w="60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 xml:space="preserve">The National Learning Consortium (NLC). (2018, November 13). Health IT Patient Satisfaction Survey. HealthIT.Gov. </w:t>
            </w:r>
            <w:hyperlink r:id="rId35" w:history="1">
              <w:r w:rsidRPr="00FC17A0">
                <w:rPr>
                  <w:rStyle w:val="Hyperlink"/>
                  <w:rFonts w:cs="Times New Roman"/>
                </w:rPr>
                <w:t>https://www.healthit.gov/resource/health-it-patient-satisfaction-survey</w:t>
              </w:r>
            </w:hyperlink>
            <w:r w:rsidRPr="00FC17A0">
              <w:rPr>
                <w:rFonts w:cs="Times New Roman"/>
              </w:rPr>
              <w:t xml:space="preserve"> </w:t>
            </w:r>
          </w:p>
        </w:tc>
      </w:tr>
      <w:tr w:rsidR="00FC17A0" w:rsidRPr="00FC17A0" w:rsidTr="00FC17A0">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rPr>
                <w:rFonts w:cs="Times New Roman"/>
              </w:rPr>
            </w:pPr>
            <w:r w:rsidRPr="00FC17A0">
              <w:rPr>
                <w:rFonts w:cs="Times New Roman"/>
              </w:rPr>
              <w:t>Patient satisfaction with outpatient healthcare services</w:t>
            </w:r>
          </w:p>
        </w:tc>
        <w:tc>
          <w:tcPr>
            <w:tcW w:w="16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Outpatient Experience Questionnaire</w:t>
            </w:r>
          </w:p>
        </w:tc>
        <w:tc>
          <w:tcPr>
            <w:tcW w:w="60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rsidR="00FC17A0" w:rsidRPr="00FC17A0" w:rsidRDefault="00FC17A0" w:rsidP="00FC17A0">
            <w:pPr>
              <w:spacing w:after="160"/>
              <w:cnfStyle w:val="000000000000" w:firstRow="0" w:lastRow="0" w:firstColumn="0" w:lastColumn="0" w:oddVBand="0" w:evenVBand="0" w:oddHBand="0" w:evenHBand="0" w:firstRowFirstColumn="0" w:firstRowLastColumn="0" w:lastRowFirstColumn="0" w:lastRowLastColumn="0"/>
              <w:rPr>
                <w:rFonts w:cs="Times New Roman"/>
              </w:rPr>
            </w:pPr>
            <w:r w:rsidRPr="00FC17A0">
              <w:rPr>
                <w:rFonts w:cs="Times New Roman"/>
              </w:rPr>
              <w:t xml:space="preserve">Hu, Y., Zhang, Z., Xie, J., &amp; Wang, G. (2017). The outpatient experience questionnaire of </w:t>
            </w:r>
            <w:r w:rsidR="00E1139B">
              <w:rPr>
                <w:rFonts w:cs="Times New Roman"/>
              </w:rPr>
              <w:t xml:space="preserve">a </w:t>
            </w:r>
            <w:r w:rsidRPr="00FC17A0">
              <w:rPr>
                <w:rFonts w:cs="Times New Roman"/>
              </w:rPr>
              <w:t>comprehensive public hospital in China: development, validity</w:t>
            </w:r>
            <w:r w:rsidR="00E1139B">
              <w:rPr>
                <w:rFonts w:cs="Times New Roman"/>
              </w:rPr>
              <w:t>,</w:t>
            </w:r>
            <w:r w:rsidRPr="00FC17A0">
              <w:rPr>
                <w:rFonts w:cs="Times New Roman"/>
              </w:rPr>
              <w:t xml:space="preserve"> and reliability. International Journal for Quality in Health Care, 29(1), 40-46. </w:t>
            </w:r>
            <w:hyperlink r:id="rId36" w:history="1">
              <w:r w:rsidRPr="00FC17A0">
                <w:rPr>
                  <w:rStyle w:val="Hyperlink"/>
                  <w:rFonts w:cs="Times New Roman"/>
                </w:rPr>
                <w:t>https://doi.org/10.1093/intqhc/mzw133</w:t>
              </w:r>
            </w:hyperlink>
            <w:r w:rsidRPr="00FC17A0">
              <w:rPr>
                <w:rFonts w:cs="Times New Roman"/>
              </w:rPr>
              <w:t xml:space="preserve"> </w:t>
            </w:r>
          </w:p>
        </w:tc>
      </w:tr>
    </w:tbl>
    <w:p w:rsidR="00FC17A0" w:rsidRPr="00FC17A0" w:rsidRDefault="00FC17A0" w:rsidP="00FC17A0">
      <w:pPr>
        <w:rPr>
          <w:rFonts w:cs="Times New Roman"/>
        </w:rPr>
      </w:pPr>
    </w:p>
    <w:p w:rsidR="00FC17A0" w:rsidRPr="00FC17A0" w:rsidRDefault="00FC17A0" w:rsidP="00FC17A0">
      <w:pPr>
        <w:rPr>
          <w:rFonts w:cs="Times New Roman"/>
        </w:rPr>
      </w:pPr>
      <w:r w:rsidRPr="00FC17A0">
        <w:rPr>
          <w:rFonts w:cs="Times New Roman"/>
        </w:rPr>
        <w:t>Validated English versions of these measurement tools will be used for collecting data. The details of each of the measurement tools are described below:</w:t>
      </w:r>
    </w:p>
    <w:p w:rsidR="00FC17A0" w:rsidRPr="00FC17A0" w:rsidRDefault="00FC17A0" w:rsidP="00FC17A0">
      <w:pPr>
        <w:rPr>
          <w:rFonts w:cs="Times New Roman"/>
          <w:i/>
          <w:iCs/>
        </w:rPr>
      </w:pPr>
      <w:r w:rsidRPr="00FC17A0">
        <w:rPr>
          <w:rFonts w:cs="Times New Roman"/>
          <w:i/>
          <w:iCs/>
        </w:rPr>
        <w:t>3.12.1. Health IT Patient Satisfaction Survey</w:t>
      </w:r>
    </w:p>
    <w:p w:rsidR="00FC17A0" w:rsidRPr="00FC17A0" w:rsidRDefault="00FC17A0" w:rsidP="00E1139B">
      <w:pPr>
        <w:ind w:left="720" w:firstLine="720"/>
        <w:rPr>
          <w:rFonts w:cs="Times New Roman"/>
        </w:rPr>
      </w:pPr>
      <w:r w:rsidRPr="00FC17A0">
        <w:rPr>
          <w:rFonts w:cs="Times New Roman"/>
        </w:rPr>
        <w:lastRenderedPageBreak/>
        <w:t>The Health IT Patient Satisfaction Survey was developed by the National Learning Consortium (NLC) in the US to determine the impact of HIT adoption on healthcare quality improvement. The survey has 6 items which are score as one of Yes, No or Not Sure; and 2 additional items for patients’ comments and commendation of any healthcare personnel for explaining the computer system. The NLC has not provided any psychometric data regarding the validity and reliability of the survey, and the survey has not been used in any studies in Saudi Arabia before; however, since the survey specifically measures satisfaction data related to HIT, the present study can be a valuable source of testing its validity and application in healthcare settings in Saudi Arabia.</w:t>
      </w:r>
    </w:p>
    <w:p w:rsidR="00FC17A0" w:rsidRPr="00FC17A0" w:rsidRDefault="00FC17A0" w:rsidP="00E1139B">
      <w:pPr>
        <w:ind w:firstLine="720"/>
        <w:rPr>
          <w:rFonts w:cs="Times New Roman"/>
          <w:i/>
          <w:iCs/>
        </w:rPr>
      </w:pPr>
      <w:r w:rsidRPr="00FC17A0">
        <w:rPr>
          <w:rFonts w:cs="Times New Roman"/>
          <w:i/>
          <w:iCs/>
        </w:rPr>
        <w:t xml:space="preserve">3.12.2. Outpatient Experience Questionnaire </w:t>
      </w:r>
    </w:p>
    <w:p w:rsidR="00FC17A0" w:rsidRPr="00FC17A0" w:rsidRDefault="00FC17A0" w:rsidP="00E1139B">
      <w:pPr>
        <w:ind w:left="720" w:firstLine="720"/>
        <w:rPr>
          <w:rFonts w:cs="Times New Roman"/>
        </w:rPr>
      </w:pPr>
      <w:r w:rsidRPr="00FC17A0">
        <w:rPr>
          <w:rFonts w:cs="Times New Roman"/>
        </w:rPr>
        <w:t xml:space="preserve">The Outpatient Experience Questionnaire (OPEQ) is a 28-item questionnaire which determines patient experience in the outpatient department across six dimensions on a 5-point Likert scoring method. These dimensions are Physical Environment and Convenience; Doctor-Patient Communication; Health Information; Medical Expenses; Short-time Outcome; and General Satisfaction. In a study conducted in China, where the questionnaire was originally developed from a pre-scale, the OPEQ was found to have good internal consistency and reliability across all dimensions (Cronbach alpha &gt;0.70). </w:t>
      </w:r>
    </w:p>
    <w:p w:rsidR="00FC17A0" w:rsidRPr="00FC17A0" w:rsidRDefault="00FC17A0" w:rsidP="00E1139B">
      <w:pPr>
        <w:ind w:left="720" w:firstLine="720"/>
        <w:rPr>
          <w:rFonts w:cs="Times New Roman"/>
        </w:rPr>
      </w:pPr>
      <w:r w:rsidRPr="00FC17A0">
        <w:rPr>
          <w:rFonts w:cs="Times New Roman"/>
        </w:rPr>
        <w:t>The OPEQ items are applicable and relevant to the outpatient department system in Saudi Arabia, and the present study will utilize it to determine its practical applicability in Saudi Arabia as well.</w:t>
      </w:r>
    </w:p>
    <w:p w:rsidR="00FC17A0" w:rsidRPr="00FC17A0" w:rsidRDefault="00FC17A0" w:rsidP="00E1139B">
      <w:pPr>
        <w:ind w:firstLine="720"/>
        <w:rPr>
          <w:rFonts w:cs="Times New Roman"/>
          <w:b/>
        </w:rPr>
      </w:pPr>
      <w:r w:rsidRPr="00FC17A0">
        <w:rPr>
          <w:rFonts w:cs="Times New Roman"/>
          <w:b/>
        </w:rPr>
        <w:t>3.13. PILOT STUDY</w:t>
      </w:r>
    </w:p>
    <w:p w:rsidR="00FC17A0" w:rsidRPr="00FC17A0" w:rsidRDefault="00FC17A0" w:rsidP="00E1139B">
      <w:pPr>
        <w:ind w:left="720" w:firstLine="720"/>
        <w:rPr>
          <w:rFonts w:cs="Times New Roman"/>
        </w:rPr>
      </w:pPr>
      <w:r w:rsidRPr="00FC17A0">
        <w:rPr>
          <w:rFonts w:cs="Times New Roman"/>
        </w:rPr>
        <w:t xml:space="preserve">Pilot studies are usually performed to examine frameworks and processes that are ultimately used to create valid and rigorous research projects. These studies normally report practices and problems experienced by the researchers and provide limited preliminary results; a practice which reduces chances of study duplicity and allows findings to be integrated into clinical practice quicker (Becker, 2008). They allow study methods and data collection processes to be examined before the study is conducted and help in planning and defining the methods which integral to achieve the research objectives (Gardner et al., 2003; Reed et al., 2007). </w:t>
      </w:r>
    </w:p>
    <w:p w:rsidR="00FC17A0" w:rsidRPr="00FC17A0" w:rsidRDefault="00FC17A0" w:rsidP="00E1139B">
      <w:pPr>
        <w:ind w:left="720" w:firstLine="720"/>
        <w:rPr>
          <w:rFonts w:cs="Times New Roman"/>
        </w:rPr>
      </w:pPr>
      <w:r w:rsidRPr="00FC17A0">
        <w:rPr>
          <w:rFonts w:cs="Times New Roman"/>
        </w:rPr>
        <w:t xml:space="preserve">The purpose of the pilot study in our research is to make sure that participants understand the questions without confusion and do not encounter any problems in interpreting the questionnaire statements. This allows for detection and identification of any faults in the survey elements design, and allows selection of proxy data, as well as removal of any such questions from the final survey. </w:t>
      </w:r>
    </w:p>
    <w:p w:rsidR="00FC17A0" w:rsidRPr="00FC17A0" w:rsidRDefault="00FC17A0" w:rsidP="00E1139B">
      <w:pPr>
        <w:ind w:firstLine="720"/>
        <w:rPr>
          <w:rFonts w:cs="Times New Roman"/>
        </w:rPr>
      </w:pPr>
      <w:r w:rsidRPr="00FC17A0">
        <w:rPr>
          <w:rFonts w:cs="Times New Roman"/>
        </w:rPr>
        <w:t>3.13.1. Selection of Sample</w:t>
      </w:r>
    </w:p>
    <w:p w:rsidR="00FC17A0" w:rsidRPr="00FC17A0" w:rsidRDefault="00FC17A0" w:rsidP="00E1139B">
      <w:pPr>
        <w:ind w:left="720" w:firstLine="720"/>
        <w:rPr>
          <w:rFonts w:cs="Times New Roman"/>
        </w:rPr>
      </w:pPr>
      <w:r w:rsidRPr="00FC17A0">
        <w:rPr>
          <w:rFonts w:cs="Times New Roman"/>
        </w:rPr>
        <w:t xml:space="preserve">Calculating sample size for a pilot study is not straightforward, as these studies are influenced by multiple factors (Hertzog, 2008). Various researchers have provided different approaches for this: </w:t>
      </w:r>
      <w:r w:rsidRPr="00FC17A0">
        <w:rPr>
          <w:rFonts w:cs="Times New Roman"/>
        </w:rPr>
        <w:lastRenderedPageBreak/>
        <w:t xml:space="preserve">for instance, Connelly (2008) suggest that the pilot study sample should be 10% of the sample projected for the larger study, while Yang (2005) have suggested 15% of the calculated sample size to be tested in the pilot study. Other researchers have suggested a fixed number of 10-30 participants in survey research (Hill, 2020; Isaac &amp; Michael, 1995). </w:t>
      </w:r>
    </w:p>
    <w:p w:rsidR="00FC17A0" w:rsidRPr="00FC17A0" w:rsidRDefault="00FC17A0" w:rsidP="00E1139B">
      <w:pPr>
        <w:ind w:left="720" w:firstLine="720"/>
        <w:rPr>
          <w:rFonts w:cs="Times New Roman"/>
        </w:rPr>
      </w:pPr>
      <w:r w:rsidRPr="00FC17A0">
        <w:rPr>
          <w:rFonts w:cs="Times New Roman"/>
        </w:rPr>
        <w:t>In our research, we will perform pilot testing on 10% of the calculated sample size for the study, in accordance with Connelly (2008). Given our calculated sample size of 385 patients, this would be 39 patients; to account for dropouts, we will perform pilot testing on 40 patients who fulfil the inclusion criteria for the study. This number meets the minimum specifications for sample size as set by Hill (2020) and will allow for a robust data collection to analyse our study methodology and objectives.</w:t>
      </w:r>
    </w:p>
    <w:p w:rsidR="00FC17A0" w:rsidRPr="00FC17A0" w:rsidRDefault="00FC17A0" w:rsidP="00E1139B">
      <w:pPr>
        <w:ind w:left="720" w:firstLine="720"/>
        <w:rPr>
          <w:rFonts w:cs="Times New Roman"/>
        </w:rPr>
      </w:pPr>
      <w:r w:rsidRPr="00FC17A0">
        <w:rPr>
          <w:rFonts w:cs="Times New Roman"/>
        </w:rPr>
        <w:t xml:space="preserve">The estimated timeframe for the pilot study will be three weeks after ethical board approval, which is in-line with general time-period needed for successful pilot studies (Secomb &amp; Smith, 2014). </w:t>
      </w:r>
    </w:p>
    <w:p w:rsidR="00FC17A0" w:rsidRPr="00FC17A0" w:rsidRDefault="00FC17A0" w:rsidP="00E1139B">
      <w:pPr>
        <w:ind w:firstLine="720"/>
        <w:rPr>
          <w:rFonts w:cs="Times New Roman"/>
        </w:rPr>
      </w:pPr>
      <w:r w:rsidRPr="00FC17A0">
        <w:rPr>
          <w:rFonts w:cs="Times New Roman"/>
        </w:rPr>
        <w:t>3.13.2. Demographic Profile of Respondents of the Pilot Study</w:t>
      </w:r>
    </w:p>
    <w:p w:rsidR="00FC17A0" w:rsidRPr="00FC17A0" w:rsidRDefault="00FC17A0" w:rsidP="00E1139B">
      <w:pPr>
        <w:ind w:left="720" w:firstLine="720"/>
        <w:rPr>
          <w:rFonts w:cs="Times New Roman"/>
          <w:lang w:val="en-US"/>
        </w:rPr>
      </w:pPr>
      <w:r w:rsidRPr="00FC17A0">
        <w:rPr>
          <w:rFonts w:cs="Times New Roman"/>
          <w:lang w:val="en-US"/>
        </w:rPr>
        <w:t>Based on the demographic information gathered from respondents of the pilot study, a table was tabulated as in Table 3.8 below and is discussed in this section. The table displays the participants’ gender, age, education, Monthly Income, Payment of Treatment, Visit to Outpatient, and Marital Status.</w:t>
      </w:r>
    </w:p>
    <w:p w:rsidR="00FC17A0" w:rsidRPr="00FC17A0" w:rsidRDefault="00FC17A0" w:rsidP="00FC17A0">
      <w:pPr>
        <w:rPr>
          <w:rFonts w:cs="Times New Roman"/>
          <w:b/>
          <w:lang w:val="en-MY"/>
        </w:rPr>
      </w:pPr>
      <w:bookmarkStart w:id="0" w:name="_Toc65501034"/>
      <w:r w:rsidRPr="00FC17A0">
        <w:rPr>
          <w:rFonts w:cs="Times New Roman"/>
          <w:b/>
          <w:lang w:val="en-MY"/>
        </w:rPr>
        <w:t xml:space="preserve">Table 3. </w:t>
      </w:r>
      <w:r w:rsidRPr="00FC17A0">
        <w:rPr>
          <w:rFonts w:cs="Times New Roman"/>
          <w:bCs/>
          <w:lang w:val="en-MY"/>
        </w:rPr>
        <w:fldChar w:fldCharType="begin"/>
      </w:r>
      <w:r w:rsidRPr="00FC17A0">
        <w:rPr>
          <w:rFonts w:cs="Times New Roman"/>
          <w:b/>
          <w:lang w:val="en-MY"/>
        </w:rPr>
        <w:instrText xml:space="preserve"> SEQ Table_3. \* ARABIC </w:instrText>
      </w:r>
      <w:r w:rsidRPr="00FC17A0">
        <w:rPr>
          <w:rFonts w:cs="Times New Roman"/>
          <w:bCs/>
          <w:lang w:val="en-MY"/>
        </w:rPr>
        <w:fldChar w:fldCharType="separate"/>
      </w:r>
      <w:r w:rsidRPr="00FC17A0">
        <w:rPr>
          <w:rFonts w:cs="Times New Roman"/>
          <w:b/>
          <w:lang w:val="en-MY"/>
        </w:rPr>
        <w:t>8</w:t>
      </w:r>
      <w:r w:rsidRPr="00FC17A0">
        <w:rPr>
          <w:rFonts w:cs="Times New Roman"/>
        </w:rPr>
        <w:fldChar w:fldCharType="end"/>
      </w:r>
      <w:r w:rsidRPr="00FC17A0">
        <w:rPr>
          <w:rFonts w:cs="Times New Roman"/>
          <w:b/>
          <w:lang w:val="en-MY"/>
        </w:rPr>
        <w:t xml:space="preserve">  Demographic Profile of Respondents of the Pilot Study (N=50)</w:t>
      </w:r>
      <w:bookmarkEnd w:id="0"/>
    </w:p>
    <w:p w:rsidR="00FC17A0" w:rsidRPr="00FC17A0" w:rsidRDefault="00FC17A0" w:rsidP="00FC17A0">
      <w:pPr>
        <w:rPr>
          <w:rFonts w:cs="Times New Roman"/>
          <w:bCs/>
          <w:i/>
          <w:iCs/>
        </w:rPr>
      </w:pPr>
      <w:r w:rsidRPr="00FC17A0">
        <w:rPr>
          <w:rFonts w:cs="Times New Roman"/>
          <w:bCs/>
          <w:i/>
          <w:iCs/>
          <w:lang w:val="en-MY"/>
        </w:rPr>
        <w:t>Demographic Profile of Respondents of the Pilot Study (N=50)</w:t>
      </w:r>
      <w:r w:rsidRPr="00FC17A0">
        <w:rPr>
          <w:rFonts w:cs="Times New Roman"/>
          <w:bCs/>
          <w:i/>
          <w:iCs/>
          <w:lang w:val="en-MY"/>
        </w:rPr>
        <w:fldChar w:fldCharType="begin"/>
      </w:r>
      <w:r w:rsidRPr="00FC17A0">
        <w:rPr>
          <w:rFonts w:cs="Times New Roman"/>
          <w:bCs/>
          <w:i/>
          <w:iCs/>
          <w:lang w:val="en-MY"/>
        </w:rPr>
        <w:instrText xml:space="preserve"> LINK Excel.Sheet.12 "E:\\PhD MEDIU\\PhD THESIS\\QUESTIONAIRE\\questionaire 210 result 200720.xlsx" Sheet4!R2C2:R22C5 \a \f 5 \h  \* MERGEFORMAT </w:instrText>
      </w:r>
      <w:r w:rsidRPr="00FC17A0">
        <w:rPr>
          <w:rFonts w:cs="Times New Roman"/>
          <w:bCs/>
          <w:i/>
          <w:iCs/>
          <w:lang w:val="en-MY"/>
        </w:rPr>
        <w:fldChar w:fldCharType="separate"/>
      </w:r>
    </w:p>
    <w:tbl>
      <w:tblPr>
        <w:tblStyle w:val="TableGrid"/>
        <w:tblW w:w="8673" w:type="dxa"/>
        <w:tblLook w:val="04A0" w:firstRow="1" w:lastRow="0" w:firstColumn="1" w:lastColumn="0" w:noHBand="0" w:noVBand="1"/>
      </w:tblPr>
      <w:tblGrid>
        <w:gridCol w:w="2626"/>
        <w:gridCol w:w="2768"/>
        <w:gridCol w:w="1601"/>
        <w:gridCol w:w="1678"/>
      </w:tblGrid>
      <w:tr w:rsidR="00FC17A0" w:rsidRPr="00FC17A0" w:rsidTr="00FC17A0">
        <w:trPr>
          <w:trHeight w:val="459"/>
        </w:trPr>
        <w:tc>
          <w:tcPr>
            <w:tcW w:w="2626"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b/>
                <w:bCs/>
                <w:lang w:val="en-MY"/>
              </w:rPr>
              <w:t>Variables</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b/>
                <w:bCs/>
                <w:lang w:val="en-MY"/>
              </w:rPr>
              <w:t>Coding</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b/>
                <w:bCs/>
                <w:lang w:val="en-MY"/>
              </w:rPr>
              <w:t>Frequency</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b/>
                <w:bCs/>
                <w:lang w:val="en-MY"/>
              </w:rPr>
              <w:t>Percentage</w:t>
            </w:r>
          </w:p>
        </w:tc>
      </w:tr>
      <w:tr w:rsidR="00FC17A0" w:rsidRPr="00FC17A0" w:rsidTr="00FC17A0">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 Gender</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Male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36</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72</w:t>
            </w:r>
          </w:p>
        </w:tc>
      </w:tr>
      <w:tr w:rsidR="00FC17A0" w:rsidRPr="00FC17A0" w:rsidTr="00FC17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Female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14</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28</w:t>
            </w:r>
          </w:p>
        </w:tc>
      </w:tr>
      <w:tr w:rsidR="00FC17A0" w:rsidRPr="00FC17A0" w:rsidTr="00FC17A0">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 Age</w:t>
            </w:r>
          </w:p>
          <w:p w:rsidR="00FC17A0" w:rsidRPr="00FC17A0" w:rsidRDefault="00FC17A0" w:rsidP="00FC17A0">
            <w:pPr>
              <w:spacing w:after="160"/>
              <w:rPr>
                <w:rFonts w:cs="Times New Roman"/>
                <w:lang w:val="en-MY"/>
              </w:rPr>
            </w:pPr>
            <w:r w:rsidRPr="00FC17A0">
              <w:rPr>
                <w:rFonts w:cs="Times New Roman"/>
                <w:lang w:val="en-MY"/>
              </w:rPr>
              <w:t> </w:t>
            </w:r>
          </w:p>
          <w:p w:rsidR="00FC17A0" w:rsidRPr="00FC17A0" w:rsidRDefault="00FC17A0" w:rsidP="00FC17A0">
            <w:pPr>
              <w:spacing w:after="160"/>
              <w:rPr>
                <w:rFonts w:cs="Times New Roman"/>
                <w:lang w:val="en-MY"/>
              </w:rPr>
            </w:pPr>
            <w:r w:rsidRPr="00FC17A0">
              <w:rPr>
                <w:rFonts w:cs="Times New Roman"/>
                <w:lang w:val="en-MY"/>
              </w:rPr>
              <w:t> </w:t>
            </w:r>
          </w:p>
          <w:p w:rsidR="00FC17A0" w:rsidRPr="00FC17A0" w:rsidRDefault="00FC17A0" w:rsidP="00FC17A0">
            <w:pPr>
              <w:spacing w:after="160"/>
              <w:rPr>
                <w:rFonts w:cs="Times New Roman"/>
                <w:lang w:val="en-MY"/>
              </w:rPr>
            </w:pPr>
            <w:r w:rsidRPr="00FC17A0">
              <w:rPr>
                <w:rFonts w:cs="Times New Roman"/>
                <w:lang w:val="en-MY"/>
              </w:rPr>
              <w:t> </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Above 60</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10</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50-59</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40-49</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30-39</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19</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38</w:t>
            </w:r>
          </w:p>
        </w:tc>
      </w:tr>
      <w:tr w:rsidR="00FC17A0" w:rsidRPr="00FC17A0" w:rsidTr="00FC17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18-29</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23</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46</w:t>
            </w:r>
          </w:p>
        </w:tc>
      </w:tr>
      <w:tr w:rsidR="00FC17A0" w:rsidRPr="00FC17A0" w:rsidTr="00FC17A0">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Education</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Master or above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Bachelors/College degree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36</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72</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Secondary School</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8</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16</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Primary or below</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8</w:t>
            </w:r>
          </w:p>
        </w:tc>
      </w:tr>
      <w:tr w:rsidR="00FC17A0" w:rsidRPr="00FC17A0" w:rsidTr="00FC17A0">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Average monthly income</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20k or above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w:t>
            </w:r>
          </w:p>
        </w:tc>
      </w:tr>
      <w:tr w:rsidR="00FC17A0" w:rsidRPr="00FC17A0" w:rsidTr="00FC17A0">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15000-20000</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10</w:t>
            </w:r>
          </w:p>
        </w:tc>
      </w:tr>
      <w:tr w:rsidR="00FC17A0" w:rsidRPr="00FC17A0" w:rsidTr="00FC17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10000-15000</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10</w:t>
            </w:r>
          </w:p>
        </w:tc>
      </w:tr>
      <w:tr w:rsidR="00FC17A0" w:rsidRPr="00FC17A0" w:rsidTr="00FC17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5000-10000</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19</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38</w:t>
            </w:r>
          </w:p>
        </w:tc>
      </w:tr>
      <w:tr w:rsidR="00FC17A0" w:rsidRPr="00FC17A0" w:rsidTr="00FC17A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Less than 5000</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19</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38</w:t>
            </w:r>
          </w:p>
        </w:tc>
      </w:tr>
      <w:tr w:rsidR="00FC17A0" w:rsidRPr="00FC17A0" w:rsidTr="00FC17A0">
        <w:trPr>
          <w:trHeight w:val="315"/>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Payment of treatment</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Self-finance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18</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36</w:t>
            </w:r>
          </w:p>
        </w:tc>
      </w:tr>
      <w:tr w:rsidR="00FC17A0" w:rsidRPr="00FC17A0" w:rsidTr="00FC17A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Insurance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28</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56</w:t>
            </w:r>
          </w:p>
        </w:tc>
      </w:tr>
      <w:tr w:rsidR="00FC17A0" w:rsidRPr="00FC17A0" w:rsidTr="00FC17A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Other</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8</w:t>
            </w:r>
          </w:p>
        </w:tc>
      </w:tr>
      <w:tr w:rsidR="00FC17A0" w:rsidRPr="00FC17A0" w:rsidTr="00FC17A0">
        <w:trPr>
          <w:trHeight w:val="315"/>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Visit to Outpatient</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Yes</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32</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64</w:t>
            </w:r>
          </w:p>
        </w:tc>
      </w:tr>
      <w:tr w:rsidR="00FC17A0" w:rsidRPr="00FC17A0" w:rsidTr="00FC17A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No</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18</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36</w:t>
            </w:r>
          </w:p>
        </w:tc>
      </w:tr>
      <w:tr w:rsidR="00FC17A0" w:rsidRPr="00FC17A0" w:rsidTr="00FC17A0">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Marital Status</w:t>
            </w: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Single</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24</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48</w:t>
            </w:r>
          </w:p>
        </w:tc>
      </w:tr>
      <w:tr w:rsidR="00FC17A0" w:rsidRPr="00FC17A0" w:rsidTr="00FC17A0">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lang w:val="en-MY"/>
              </w:rPr>
            </w:pPr>
          </w:p>
        </w:tc>
        <w:tc>
          <w:tcPr>
            <w:tcW w:w="276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Married</w:t>
            </w:r>
          </w:p>
        </w:tc>
        <w:tc>
          <w:tcPr>
            <w:tcW w:w="1601"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26</w:t>
            </w:r>
          </w:p>
        </w:tc>
        <w:tc>
          <w:tcPr>
            <w:tcW w:w="1678"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lang w:val="en-MY"/>
              </w:rPr>
            </w:pPr>
            <w:r w:rsidRPr="00FC17A0">
              <w:rPr>
                <w:rFonts w:cs="Times New Roman"/>
                <w:lang w:val="en-MY"/>
              </w:rPr>
              <w:t>52</w:t>
            </w:r>
          </w:p>
        </w:tc>
      </w:tr>
    </w:tbl>
    <w:p w:rsidR="00FC17A0" w:rsidRPr="00FC17A0" w:rsidRDefault="00FC17A0" w:rsidP="00FC17A0">
      <w:pPr>
        <w:rPr>
          <w:rFonts w:cs="Times New Roman"/>
        </w:rPr>
      </w:pPr>
      <w:r w:rsidRPr="00FC17A0">
        <w:rPr>
          <w:rFonts w:cs="Times New Roman"/>
        </w:rPr>
        <w:fldChar w:fldCharType="end"/>
      </w:r>
      <w:r w:rsidRPr="00FC17A0">
        <w:rPr>
          <w:rFonts w:cs="Times New Roman"/>
        </w:rPr>
        <w:t xml:space="preserve"> </w:t>
      </w:r>
      <w:r w:rsidR="00386778">
        <w:rPr>
          <w:rFonts w:cs="Times New Roman"/>
        </w:rPr>
        <w:tab/>
      </w:r>
      <w:r w:rsidR="00386778">
        <w:rPr>
          <w:rFonts w:cs="Times New Roman"/>
        </w:rPr>
        <w:tab/>
      </w:r>
      <w:r w:rsidRPr="00FC17A0">
        <w:rPr>
          <w:rFonts w:cs="Times New Roman"/>
        </w:rPr>
        <w:t xml:space="preserve">The 50 respondents were used for the research analysis and the sample consisted of 72 percent male and 28 percent female.  For the majority of respondents, 46 percent were between 18 and 29 years old and 38 percent were between 30-39 years old. While 10 percent were Above 60 years old, and 4 percent were between 40-49 years old while 2 percent for the age group of 50-59.  The majority of respondents or 76 percent were degree holders, followed by 72 percent were Bachelors/College degree holders, 4 percent were Master or above holders. the marital status statistics for each respondent. For the majority of respondents, 38 percent were Less than 5000 income and 38 percent were between 5000-10000 income. While 10 percent were between 10000-15000 income, and 10 percent were between 15000-20000 income while 4 percent have income above 20k. For the majority of respondents, 56 percent use Insurance, 36 percent were Self-financed, and 8 percent were other. The sample consisted of 64 percent Yes and 36 percent No response about Visit to Outpatient. There are 50 marital status respondents and 24 single respondents. However, with respect to the percentage, single respondents are 48% of the total whereas married respondents were in majority with 52%. </w:t>
      </w:r>
    </w:p>
    <w:p w:rsidR="00FC17A0" w:rsidRPr="00FC17A0" w:rsidRDefault="00FC17A0" w:rsidP="00386778">
      <w:pPr>
        <w:rPr>
          <w:rFonts w:cs="Times New Roman"/>
        </w:rPr>
      </w:pPr>
      <w:r w:rsidRPr="00FC17A0">
        <w:rPr>
          <w:rFonts w:cs="Times New Roman"/>
        </w:rPr>
        <w:t>3.13.3. Reliability Analysis</w:t>
      </w:r>
    </w:p>
    <w:p w:rsidR="00FC17A0" w:rsidRPr="00386778" w:rsidRDefault="00FC17A0" w:rsidP="00386778">
      <w:pPr>
        <w:ind w:firstLine="720"/>
        <w:rPr>
          <w:rFonts w:cs="Times New Roman"/>
          <w:lang w:val="en-US"/>
        </w:rPr>
      </w:pPr>
      <w:r w:rsidRPr="00FC17A0">
        <w:rPr>
          <w:rFonts w:cs="Times New Roman"/>
        </w:rPr>
        <w:t xml:space="preserve">An internal consistency test called Cronbach's alpha will be performed in this pilot project to assess the validity of the assessed items included in the questionnaire. The purpose of the exam is to assess the respondent's degree of comprehension and the coherence of their responses to the complete distributed </w:t>
      </w:r>
      <w:r w:rsidRPr="00FC17A0">
        <w:rPr>
          <w:rFonts w:cs="Times New Roman"/>
        </w:rPr>
        <w:lastRenderedPageBreak/>
        <w:t xml:space="preserve">questionnaire. Malhotra and Birks (2007) define reliability as the extent and propensity of a measurement to consistently repeat results in the event that a process measurement occurred again. A scale that is free of random error is said to have a high reliability score (Pallant &amp; Tennant, 2007). It is also the degree of consistency of measurement items in one instrument. Based on the definition of internal consistency reliability provided by Sekaran and Bougie (2010), it assesses the consistency of a construct's elements to make sure that it measures appropriately. The statistics for the specified measurement are provided using the Cronbach's alpha. The analysis is essential to ensuring the accuracy of the measurement utilised and its suitability for describing the research's findings.  According to Hair et al. (2010), Richter et al. (2018), and Pallant (2001), a coefficient of scale above 0.7 is required for a reliable measurement of the construct. </w:t>
      </w:r>
      <w:r w:rsidR="00386778" w:rsidRPr="00386778">
        <w:rPr>
          <w:rFonts w:cs="Times New Roman"/>
          <w:lang w:val="en-US"/>
        </w:rPr>
        <w:t>According to the findings in Table 3.9, all constructs' Cronbach's alpha values were higher than the suggested threshold of.70. As a result, the internal consistency reliability of each construct was verified. As a result, all of the variables met the threshold value and were deemed to have complied with the specified standards for internal consistency dependability and the ability to explain the occurrences</w:t>
      </w:r>
      <w:r w:rsidRPr="00FC17A0">
        <w:rPr>
          <w:rFonts w:cs="Times New Roman"/>
        </w:rPr>
        <w:t>.</w:t>
      </w:r>
    </w:p>
    <w:p w:rsidR="00FC17A0" w:rsidRPr="00FC17A0" w:rsidRDefault="00FC17A0" w:rsidP="00FC17A0">
      <w:pPr>
        <w:rPr>
          <w:rFonts w:cs="Times New Roman"/>
          <w:b/>
          <w:lang w:val="en-MY"/>
        </w:rPr>
      </w:pPr>
      <w:bookmarkStart w:id="1" w:name="_Toc65501035"/>
      <w:bookmarkStart w:id="2" w:name="_Toc54314720"/>
      <w:bookmarkStart w:id="3" w:name="_Toc56082754"/>
      <w:bookmarkStart w:id="4" w:name="_Toc56100677"/>
      <w:bookmarkStart w:id="5" w:name="_Toc56266926"/>
      <w:r w:rsidRPr="00FC17A0">
        <w:rPr>
          <w:rFonts w:cs="Times New Roman"/>
          <w:b/>
          <w:lang w:val="en-MY"/>
        </w:rPr>
        <w:t xml:space="preserve">Table 3. </w:t>
      </w:r>
      <w:r w:rsidRPr="00FC17A0">
        <w:rPr>
          <w:rFonts w:cs="Times New Roman"/>
          <w:bCs/>
          <w:lang w:val="en-MY"/>
        </w:rPr>
        <w:fldChar w:fldCharType="begin"/>
      </w:r>
      <w:r w:rsidRPr="00FC17A0">
        <w:rPr>
          <w:rFonts w:cs="Times New Roman"/>
          <w:b/>
          <w:lang w:val="en-MY"/>
        </w:rPr>
        <w:instrText xml:space="preserve"> SEQ Table_3. \* ARABIC </w:instrText>
      </w:r>
      <w:r w:rsidRPr="00FC17A0">
        <w:rPr>
          <w:rFonts w:cs="Times New Roman"/>
          <w:bCs/>
          <w:lang w:val="en-MY"/>
        </w:rPr>
        <w:fldChar w:fldCharType="separate"/>
      </w:r>
      <w:r w:rsidRPr="00FC17A0">
        <w:rPr>
          <w:rFonts w:cs="Times New Roman"/>
          <w:b/>
          <w:lang w:val="en-MY"/>
        </w:rPr>
        <w:t>9</w:t>
      </w:r>
      <w:r w:rsidRPr="00FC17A0">
        <w:rPr>
          <w:rFonts w:cs="Times New Roman"/>
        </w:rPr>
        <w:fldChar w:fldCharType="end"/>
      </w:r>
      <w:r w:rsidRPr="00FC17A0">
        <w:rPr>
          <w:rFonts w:cs="Times New Roman"/>
          <w:b/>
          <w:lang w:val="en-MY"/>
        </w:rPr>
        <w:t xml:space="preserve">  Reliability Analysis</w:t>
      </w:r>
      <w:bookmarkEnd w:id="1"/>
    </w:p>
    <w:p w:rsidR="00FC17A0" w:rsidRPr="00FC17A0" w:rsidRDefault="00FC17A0" w:rsidP="00FC17A0">
      <w:pPr>
        <w:rPr>
          <w:rFonts w:cs="Times New Roman"/>
          <w:bCs/>
          <w:i/>
          <w:iCs/>
          <w:lang w:val="en-MY"/>
        </w:rPr>
      </w:pPr>
      <w:r w:rsidRPr="00FC17A0">
        <w:rPr>
          <w:rFonts w:cs="Times New Roman"/>
          <w:i/>
          <w:iCs/>
          <w:lang w:val="en-US"/>
        </w:rPr>
        <w:t>Reliability Analysis</w:t>
      </w:r>
      <w:bookmarkEnd w:id="2"/>
      <w:bookmarkEnd w:id="3"/>
      <w:bookmarkEnd w:id="4"/>
      <w:bookmarkEnd w:id="5"/>
      <w:r w:rsidRPr="00FC17A0">
        <w:rPr>
          <w:rFonts w:cs="Times New Roman"/>
          <w:i/>
          <w:iCs/>
          <w:lang w:val="en-US"/>
        </w:rPr>
        <w:t xml:space="preserve"> </w:t>
      </w:r>
    </w:p>
    <w:tbl>
      <w:tblPr>
        <w:tblStyle w:val="TableGrid"/>
        <w:tblW w:w="0" w:type="auto"/>
        <w:tblLook w:val="04A0" w:firstRow="1" w:lastRow="0" w:firstColumn="1" w:lastColumn="0" w:noHBand="0" w:noVBand="1"/>
      </w:tblPr>
      <w:tblGrid>
        <w:gridCol w:w="3116"/>
        <w:gridCol w:w="3117"/>
        <w:gridCol w:w="3117"/>
      </w:tblGrid>
      <w:tr w:rsidR="00FC17A0" w:rsidRPr="00FC17A0" w:rsidTr="00FC17A0">
        <w:tc>
          <w:tcPr>
            <w:tcW w:w="3116"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b/>
                <w:bCs/>
              </w:rPr>
              <w:t>The study Variables</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b/>
              </w:rPr>
              <w:t>No. of Items</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b/>
                <w:bCs/>
              </w:rPr>
              <w:t>Cronbach's Alpha</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vAlign w:val="center"/>
            <w:hideMark/>
          </w:tcPr>
          <w:p w:rsidR="00FC17A0" w:rsidRPr="00FC17A0" w:rsidRDefault="00FC17A0" w:rsidP="00FC17A0">
            <w:pPr>
              <w:spacing w:after="160"/>
              <w:rPr>
                <w:rFonts w:cs="Times New Roman"/>
              </w:rPr>
            </w:pPr>
            <w:r w:rsidRPr="00FC17A0">
              <w:rPr>
                <w:rFonts w:cs="Times New Roman"/>
              </w:rPr>
              <w:t>Patient education:</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7</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.868</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vAlign w:val="center"/>
          </w:tcPr>
          <w:p w:rsidR="00FC17A0" w:rsidRPr="00FC17A0" w:rsidRDefault="00FC17A0" w:rsidP="00FC17A0">
            <w:pPr>
              <w:spacing w:after="160"/>
              <w:rPr>
                <w:rFonts w:cs="Times New Roman"/>
              </w:rPr>
            </w:pPr>
            <w:r w:rsidRPr="00FC17A0">
              <w:rPr>
                <w:rFonts w:cs="Times New Roman"/>
              </w:rPr>
              <w:t>Digital health tools in patient care:</w:t>
            </w:r>
          </w:p>
          <w:p w:rsidR="00FC17A0" w:rsidRPr="00FC17A0" w:rsidRDefault="00FC17A0" w:rsidP="00FC17A0">
            <w:pPr>
              <w:spacing w:after="160"/>
              <w:rPr>
                <w:rFonts w:cs="Times New Roman"/>
              </w:rPr>
            </w:pP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5</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.862</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Patient satisfaction in terms of convenience, courtesy, and quality of care</w:t>
            </w:r>
          </w:p>
          <w:p w:rsidR="00FC17A0" w:rsidRPr="00FC17A0" w:rsidRDefault="00FC17A0" w:rsidP="00FC17A0">
            <w:pPr>
              <w:spacing w:after="160"/>
              <w:rPr>
                <w:rFonts w:cs="Times New Roman"/>
              </w:rPr>
            </w:pP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6</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.811</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Patient's experiences of OPD services and facilities:</w:t>
            </w:r>
          </w:p>
          <w:p w:rsidR="00FC17A0" w:rsidRPr="00FC17A0" w:rsidRDefault="00FC17A0" w:rsidP="00FC17A0">
            <w:pPr>
              <w:spacing w:after="160"/>
              <w:rPr>
                <w:rFonts w:cs="Times New Roman"/>
              </w:rPr>
            </w:pP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6</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.913</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Accessibility of services:</w:t>
            </w:r>
          </w:p>
          <w:p w:rsidR="00FC17A0" w:rsidRPr="00FC17A0" w:rsidRDefault="00FC17A0" w:rsidP="00FC17A0">
            <w:pPr>
              <w:spacing w:after="160"/>
              <w:rPr>
                <w:rFonts w:cs="Times New Roman"/>
              </w:rPr>
            </w:pP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4</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.897</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Waiting times:</w:t>
            </w:r>
          </w:p>
          <w:p w:rsidR="00FC17A0" w:rsidRPr="00FC17A0" w:rsidRDefault="00FC17A0" w:rsidP="00FC17A0">
            <w:pPr>
              <w:spacing w:after="160"/>
              <w:rPr>
                <w:rFonts w:cs="Times New Roman"/>
              </w:rPr>
            </w:pP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4</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.833</w:t>
            </w:r>
          </w:p>
        </w:tc>
      </w:tr>
      <w:tr w:rsidR="00FC17A0" w:rsidRPr="00FC17A0" w:rsidTr="00FC17A0">
        <w:tc>
          <w:tcPr>
            <w:tcW w:w="3116"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lastRenderedPageBreak/>
              <w:t>Technology Efficiency</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5</w:t>
            </w:r>
          </w:p>
        </w:tc>
        <w:tc>
          <w:tcPr>
            <w:tcW w:w="3117"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rPr>
            </w:pPr>
            <w:r w:rsidRPr="00FC17A0">
              <w:rPr>
                <w:rFonts w:cs="Times New Roman"/>
              </w:rPr>
              <w:t>.797</w:t>
            </w:r>
          </w:p>
        </w:tc>
      </w:tr>
    </w:tbl>
    <w:p w:rsidR="00FC17A0" w:rsidRPr="00FC17A0" w:rsidRDefault="00FC17A0" w:rsidP="00FC17A0">
      <w:pPr>
        <w:rPr>
          <w:rFonts w:cs="Times New Roman"/>
        </w:rPr>
      </w:pPr>
    </w:p>
    <w:p w:rsidR="00FC17A0" w:rsidRPr="00FC17A0" w:rsidRDefault="00FC17A0" w:rsidP="00FC17A0">
      <w:pPr>
        <w:rPr>
          <w:rFonts w:cs="Times New Roman"/>
        </w:rPr>
      </w:pPr>
      <w:r w:rsidRPr="00FC17A0">
        <w:rPr>
          <w:rFonts w:cs="Times New Roman"/>
        </w:rPr>
        <w:t>3.13.4. Validity Testing</w:t>
      </w:r>
    </w:p>
    <w:p w:rsidR="00FC17A0" w:rsidRPr="00FC17A0" w:rsidRDefault="00FC17A0" w:rsidP="00386778">
      <w:pPr>
        <w:ind w:left="720" w:firstLine="720"/>
        <w:rPr>
          <w:rFonts w:cs="Times New Roman"/>
        </w:rPr>
      </w:pPr>
      <w:r w:rsidRPr="00FC17A0">
        <w:rPr>
          <w:rFonts w:cs="Times New Roman"/>
        </w:rPr>
        <w:t xml:space="preserve">Validity analysis is the examination of the logic behind an idea that accurately depicts the real world. According to various studies (Hayashi et al., 2019), the validity analysis explains the precision of the research's measurement technique. The validity test is a technique that accurately reflects real values and assesses what needs to be measured. The validity test requires the use of four different sorts of methods: construct validity, criterion validity, face validity, and content validity (Pallant, 2011; </w:t>
      </w:r>
      <w:proofErr w:type="spellStart"/>
      <w:r w:rsidRPr="00FC17A0">
        <w:rPr>
          <w:rFonts w:cs="Times New Roman"/>
        </w:rPr>
        <w:t>Haradhan</w:t>
      </w:r>
      <w:proofErr w:type="spellEnd"/>
      <w:r w:rsidRPr="00FC17A0">
        <w:rPr>
          <w:rFonts w:cs="Times New Roman"/>
        </w:rPr>
        <w:t xml:space="preserve">, 2017). </w:t>
      </w:r>
    </w:p>
    <w:p w:rsidR="00FC17A0" w:rsidRPr="00FC17A0" w:rsidRDefault="00FC17A0" w:rsidP="00386778">
      <w:pPr>
        <w:ind w:left="720" w:firstLine="720"/>
        <w:rPr>
          <w:rFonts w:cs="Times New Roman"/>
        </w:rPr>
      </w:pPr>
      <w:r w:rsidRPr="00FC17A0">
        <w:rPr>
          <w:rFonts w:cs="Times New Roman"/>
        </w:rPr>
        <w:t>The level to which a test assesses the domain of content that it was intended to measure is known as content validity, and it is typically offered by experts (</w:t>
      </w:r>
      <w:proofErr w:type="spellStart"/>
      <w:r w:rsidRPr="00FC17A0">
        <w:rPr>
          <w:rFonts w:cs="Times New Roman"/>
        </w:rPr>
        <w:t>Shekaran</w:t>
      </w:r>
      <w:proofErr w:type="spellEnd"/>
      <w:r w:rsidRPr="00FC17A0">
        <w:rPr>
          <w:rFonts w:cs="Times New Roman"/>
        </w:rPr>
        <w:t xml:space="preserve"> &amp; Bougie, 2010In this regard, the two conditions of content validity are item validity and sampling validity, where the former concerns whether the test items have relevance in the measurement of the intended content domain and the latter concerns how well the test denotes the entire tested content area (</w:t>
      </w:r>
      <w:proofErr w:type="spellStart"/>
      <w:r w:rsidRPr="00FC17A0">
        <w:rPr>
          <w:rFonts w:cs="Times New Roman"/>
        </w:rPr>
        <w:t>Haradhan</w:t>
      </w:r>
      <w:proofErr w:type="spellEnd"/>
      <w:r w:rsidRPr="00FC17A0">
        <w:rPr>
          <w:rFonts w:cs="Times New Roman"/>
        </w:rPr>
        <w:t>, 2017). The survey items included in this study are constructs that have been validated by earlier, comparable investigations, and the sample was justified using a mathematical formula from earlier research.</w:t>
      </w:r>
    </w:p>
    <w:p w:rsidR="00FC17A0" w:rsidRPr="00FC17A0" w:rsidRDefault="00FC17A0" w:rsidP="00386778">
      <w:pPr>
        <w:ind w:left="720" w:firstLine="720"/>
        <w:rPr>
          <w:rFonts w:cs="Times New Roman"/>
        </w:rPr>
      </w:pPr>
      <w:r w:rsidRPr="00FC17A0">
        <w:rPr>
          <w:rFonts w:cs="Times New Roman"/>
        </w:rPr>
        <w:t>Face validity, in contrast to content validity, is also used in the pilot test based on the "non-expert" evaluation of the participants who filled out the instruments. Respondents may be reluctant to participate in surveys or may disregard important measurements that seem unimportant to them. According to test takers' perceptions, face validity ensures that an exam is relevant (</w:t>
      </w:r>
      <w:proofErr w:type="spellStart"/>
      <w:r w:rsidRPr="00FC17A0">
        <w:rPr>
          <w:rFonts w:cs="Times New Roman"/>
        </w:rPr>
        <w:t>Holdern</w:t>
      </w:r>
      <w:proofErr w:type="spellEnd"/>
      <w:r w:rsidRPr="00FC17A0">
        <w:rPr>
          <w:rFonts w:cs="Times New Roman"/>
        </w:rPr>
        <w:t xml:space="preserve">, 2010; </w:t>
      </w:r>
      <w:proofErr w:type="spellStart"/>
      <w:r w:rsidRPr="00FC17A0">
        <w:rPr>
          <w:rFonts w:cs="Times New Roman"/>
        </w:rPr>
        <w:t>Gravetter</w:t>
      </w:r>
      <w:proofErr w:type="spellEnd"/>
      <w:r w:rsidRPr="00FC17A0">
        <w:rPr>
          <w:rFonts w:cs="Times New Roman"/>
        </w:rPr>
        <w:t xml:space="preserve"> and Forzano, 2008). 50 respondents from SMEs taking part in the Global Waqf Conference 2019 served as validation participants for the questionnaire used as the study's instrument. The respondents were asked to provide feedback based on the instrument's face value on a variety of topics, such as the amount of time required to complete it, the clarity of the instructions and questionnaire items, typographical errors, and the instrument's layout and structure (Frantz1 and Holmgren, 2019).</w:t>
      </w:r>
    </w:p>
    <w:p w:rsidR="00FC17A0" w:rsidRPr="00FC17A0" w:rsidRDefault="00FC17A0" w:rsidP="00386778">
      <w:pPr>
        <w:ind w:left="720" w:firstLine="720"/>
        <w:rPr>
          <w:rFonts w:cs="Times New Roman"/>
        </w:rPr>
      </w:pPr>
      <w:r w:rsidRPr="00FC17A0">
        <w:rPr>
          <w:rFonts w:cs="Times New Roman"/>
        </w:rPr>
        <w:t>Criterion The ability to foresee certain outcomes or gauge the existence of certain existing conditions is referred to as validity. Any criterion must be evaluated in light of the condition's applicability, availability, lack of bias, and consistency.  According to Burns et al. (2017), the test result of the criteria should correspond to other relevant criteria, and it also forecasts the performance scores (Messick, 1989). The contemporaneous validity and predictive validity are what establish the criterion. The degree to which equivalent scores on a test of valid constructs, measuring related other constructs, are present is known as concurrent validity. In this study, the results from other studies that have been validated concurrently are compared to the pilot test results. When the outcome is predictable, the predictive validity also supports the criterion validity (</w:t>
      </w:r>
      <w:proofErr w:type="spellStart"/>
      <w:r w:rsidRPr="00FC17A0">
        <w:rPr>
          <w:rFonts w:cs="Times New Roman"/>
        </w:rPr>
        <w:t>Haradhan</w:t>
      </w:r>
      <w:proofErr w:type="spellEnd"/>
      <w:r w:rsidRPr="00FC17A0">
        <w:rPr>
          <w:rFonts w:cs="Times New Roman"/>
        </w:rPr>
        <w:t xml:space="preserve">, 2017). Predictive theory can be used, created, and built to forecast behaviour, according to Allen &amp; Yen (1979).  The </w:t>
      </w:r>
      <w:r w:rsidRPr="00FC17A0">
        <w:rPr>
          <w:rFonts w:cs="Times New Roman"/>
        </w:rPr>
        <w:lastRenderedPageBreak/>
        <w:t xml:space="preserve">theory enables the use of a measuring device to distinguish between people according to a future criterion. The previous behavioural studies from other studies are used in this study as a benchmark predictor to anticipate a specific outcome from the pilot test. </w:t>
      </w:r>
    </w:p>
    <w:p w:rsidR="00FC17A0" w:rsidRPr="00FC17A0" w:rsidRDefault="00FC17A0" w:rsidP="00386778">
      <w:pPr>
        <w:ind w:left="720" w:firstLine="720"/>
        <w:rPr>
          <w:rFonts w:cs="Times New Roman"/>
        </w:rPr>
      </w:pPr>
      <w:r w:rsidRPr="00FC17A0">
        <w:rPr>
          <w:rFonts w:cs="Times New Roman"/>
        </w:rPr>
        <w:t xml:space="preserve">Assuring that the measurement method matches the construct being researched is known as construct validity. It involves the compatibility of the theoretical framework with the measurement tools being employed (Pallant, 2011It relates to the method used to confirm predictions of correlations with other theoretical claims. According to Thatcher (2010) and </w:t>
      </w:r>
      <w:proofErr w:type="spellStart"/>
      <w:r w:rsidRPr="00FC17A0">
        <w:rPr>
          <w:rFonts w:cs="Times New Roman"/>
        </w:rPr>
        <w:t>Haradhan</w:t>
      </w:r>
      <w:proofErr w:type="spellEnd"/>
      <w:r w:rsidRPr="00FC17A0">
        <w:rPr>
          <w:rFonts w:cs="Times New Roman"/>
        </w:rPr>
        <w:t xml:space="preserve"> (2017), construct validity is the extent to which test results can be explained by the explanatory structures of a theory. This research makes sure that the indicators and measurements utilised in the instruments are carefully constructed apropos to the knowledge from past relevant researches in order to attain construct validity. Only pertinent questions that assess well-known markers of SME perceptions of behaviour and waqf blockchain to affect Corporate Waqf intention are included in the questionnaire.</w:t>
      </w:r>
    </w:p>
    <w:p w:rsidR="00FC17A0" w:rsidRPr="00FC17A0" w:rsidRDefault="00FC17A0" w:rsidP="00386778">
      <w:pPr>
        <w:ind w:left="720" w:firstLine="720"/>
        <w:rPr>
          <w:rFonts w:cs="Times New Roman"/>
        </w:rPr>
      </w:pPr>
      <w:r w:rsidRPr="00FC17A0">
        <w:rPr>
          <w:rFonts w:cs="Times New Roman"/>
        </w:rPr>
        <w:t>The exploration of a link between variables based on a proper or ‘reasonable' statistical conclusion drawn from the observed data is known as a validity analysis (Sekaran, 2018). In order to verify the logic, definition, and construction of cause-and-effect linkages, proper statistical tests and trustworthy measurement must be applied (Awang, 2019).  These elements of the statistical test of the factor validity are described as the “factor loadings, which can be seen clearly that all the items have good validity between 0.717 and 0.927 as shown in the table below. It can be concluded from the results in Table3.7 that the indicators’ loadings of each of the seven constructs is higher than its cross-loadings, thereby satisfying the discriminant validity criterion suggested by Chin (2020). The test results are displayed in Table 3.10.</w:t>
      </w:r>
    </w:p>
    <w:p w:rsidR="00FC17A0" w:rsidRPr="00FC17A0" w:rsidRDefault="00FC17A0" w:rsidP="00FC17A0">
      <w:pPr>
        <w:rPr>
          <w:rFonts w:cs="Times New Roman"/>
          <w:b/>
          <w:lang w:val="en-MY"/>
        </w:rPr>
      </w:pPr>
      <w:bookmarkStart w:id="6" w:name="_Toc65501036"/>
      <w:bookmarkStart w:id="7" w:name="_Toc54314721"/>
      <w:bookmarkStart w:id="8" w:name="_Toc56082755"/>
      <w:bookmarkStart w:id="9" w:name="_Toc56100678"/>
      <w:bookmarkStart w:id="10" w:name="_Toc56266927"/>
      <w:r w:rsidRPr="00FC17A0">
        <w:rPr>
          <w:rFonts w:cs="Times New Roman"/>
          <w:b/>
          <w:lang w:val="en-MY"/>
        </w:rPr>
        <w:t xml:space="preserve">Table 3. </w:t>
      </w:r>
      <w:r w:rsidRPr="00FC17A0">
        <w:rPr>
          <w:rFonts w:cs="Times New Roman"/>
          <w:bCs/>
          <w:lang w:val="en-MY"/>
        </w:rPr>
        <w:fldChar w:fldCharType="begin"/>
      </w:r>
      <w:r w:rsidRPr="00FC17A0">
        <w:rPr>
          <w:rFonts w:cs="Times New Roman"/>
          <w:b/>
          <w:lang w:val="en-MY"/>
        </w:rPr>
        <w:instrText xml:space="preserve"> SEQ Table_3. \* ARABIC </w:instrText>
      </w:r>
      <w:r w:rsidRPr="00FC17A0">
        <w:rPr>
          <w:rFonts w:cs="Times New Roman"/>
          <w:bCs/>
          <w:lang w:val="en-MY"/>
        </w:rPr>
        <w:fldChar w:fldCharType="separate"/>
      </w:r>
      <w:r w:rsidRPr="00FC17A0">
        <w:rPr>
          <w:rFonts w:cs="Times New Roman"/>
          <w:b/>
          <w:lang w:val="en-MY"/>
        </w:rPr>
        <w:t>10</w:t>
      </w:r>
      <w:r w:rsidRPr="00FC17A0">
        <w:rPr>
          <w:rFonts w:cs="Times New Roman"/>
        </w:rPr>
        <w:fldChar w:fldCharType="end"/>
      </w:r>
      <w:r w:rsidRPr="00FC17A0">
        <w:rPr>
          <w:rFonts w:cs="Times New Roman"/>
          <w:b/>
          <w:lang w:val="en-MY"/>
        </w:rPr>
        <w:t xml:space="preserve"> Analysis</w:t>
      </w:r>
      <w:bookmarkEnd w:id="6"/>
    </w:p>
    <w:p w:rsidR="00FC17A0" w:rsidRPr="00FC17A0" w:rsidRDefault="00FC17A0" w:rsidP="00FC17A0">
      <w:pPr>
        <w:rPr>
          <w:rFonts w:cs="Times New Roman"/>
          <w:bCs/>
          <w:i/>
          <w:iCs/>
          <w:lang w:val="en-MY"/>
        </w:rPr>
      </w:pPr>
      <w:bookmarkStart w:id="11" w:name="_Hlk65500482"/>
      <w:r w:rsidRPr="00FC17A0">
        <w:rPr>
          <w:rFonts w:cs="Times New Roman"/>
          <w:bCs/>
          <w:i/>
          <w:iCs/>
          <w:lang w:val="en-MY"/>
        </w:rPr>
        <w:t>Validity Analysis</w:t>
      </w:r>
      <w:bookmarkEnd w:id="7"/>
      <w:bookmarkEnd w:id="8"/>
      <w:bookmarkEnd w:id="9"/>
      <w:bookmarkEnd w:id="10"/>
      <w:r w:rsidRPr="00FC17A0">
        <w:rPr>
          <w:rFonts w:cs="Times New Roman"/>
          <w:bCs/>
          <w:i/>
          <w:iCs/>
          <w:lang w:val="en-MY"/>
        </w:rPr>
        <w:t xml:space="preserve"> </w:t>
      </w:r>
      <w:bookmarkEnd w:id="11"/>
    </w:p>
    <w:tbl>
      <w:tblPr>
        <w:tblStyle w:val="TableGrid"/>
        <w:tblW w:w="9728" w:type="dxa"/>
        <w:tblLook w:val="04A0" w:firstRow="1" w:lastRow="0" w:firstColumn="1" w:lastColumn="0" w:noHBand="0" w:noVBand="1"/>
      </w:tblPr>
      <w:tblGrid>
        <w:gridCol w:w="865"/>
        <w:gridCol w:w="1149"/>
        <w:gridCol w:w="993"/>
        <w:gridCol w:w="1435"/>
        <w:gridCol w:w="1349"/>
        <w:gridCol w:w="1470"/>
        <w:gridCol w:w="1007"/>
        <w:gridCol w:w="1460"/>
      </w:tblGrid>
      <w:tr w:rsidR="00FC17A0" w:rsidRPr="00FC17A0" w:rsidTr="00FC17A0">
        <w:trPr>
          <w:trHeight w:val="76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149"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rPr>
              <w:t>Patient education</w:t>
            </w:r>
          </w:p>
        </w:tc>
        <w:tc>
          <w:tcPr>
            <w:tcW w:w="993"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Digital health tools in patient care:</w:t>
            </w:r>
          </w:p>
          <w:p w:rsidR="00FC17A0" w:rsidRPr="00FC17A0" w:rsidRDefault="00FC17A0" w:rsidP="00FC17A0">
            <w:pPr>
              <w:spacing w:after="160"/>
              <w:rPr>
                <w:rFonts w:cs="Times New Roman"/>
                <w:b/>
                <w:bCs/>
              </w:rPr>
            </w:pPr>
          </w:p>
        </w:tc>
        <w:tc>
          <w:tcPr>
            <w:tcW w:w="1435"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rPr>
              <w:t xml:space="preserve">Patient satisfaction </w:t>
            </w:r>
          </w:p>
        </w:tc>
        <w:tc>
          <w:tcPr>
            <w:tcW w:w="1349"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Patient's experiences of OPD services and facilities:</w:t>
            </w:r>
          </w:p>
          <w:p w:rsidR="00FC17A0" w:rsidRPr="00FC17A0" w:rsidRDefault="00FC17A0" w:rsidP="00FC17A0">
            <w:pPr>
              <w:spacing w:after="160"/>
              <w:rPr>
                <w:rFonts w:cs="Times New Roman"/>
                <w:b/>
                <w:bCs/>
              </w:rPr>
            </w:pPr>
          </w:p>
        </w:tc>
        <w:tc>
          <w:tcPr>
            <w:tcW w:w="1470"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Accessibility of services:</w:t>
            </w:r>
          </w:p>
          <w:p w:rsidR="00FC17A0" w:rsidRPr="00FC17A0" w:rsidRDefault="00FC17A0" w:rsidP="00FC17A0">
            <w:pPr>
              <w:spacing w:after="160"/>
              <w:rPr>
                <w:rFonts w:cs="Times New Roman"/>
                <w:b/>
                <w:bCs/>
              </w:rPr>
            </w:pPr>
          </w:p>
        </w:tc>
        <w:tc>
          <w:tcPr>
            <w:tcW w:w="1007" w:type="dxa"/>
            <w:tcBorders>
              <w:top w:val="single" w:sz="4" w:space="0" w:color="auto"/>
              <w:left w:val="single" w:sz="4" w:space="0" w:color="auto"/>
              <w:bottom w:val="single" w:sz="4" w:space="0" w:color="auto"/>
              <w:right w:val="single" w:sz="4" w:space="0" w:color="auto"/>
            </w:tcBorders>
          </w:tcPr>
          <w:p w:rsidR="00FC17A0" w:rsidRPr="00FC17A0" w:rsidRDefault="00FC17A0" w:rsidP="00FC17A0">
            <w:pPr>
              <w:spacing w:after="160"/>
              <w:rPr>
                <w:rFonts w:cs="Times New Roman"/>
              </w:rPr>
            </w:pPr>
            <w:r w:rsidRPr="00FC17A0">
              <w:rPr>
                <w:rFonts w:cs="Times New Roman"/>
              </w:rPr>
              <w:t>Waiting times:</w:t>
            </w:r>
          </w:p>
          <w:p w:rsidR="00FC17A0" w:rsidRPr="00FC17A0" w:rsidRDefault="00FC17A0" w:rsidP="00FC17A0">
            <w:pPr>
              <w:spacing w:after="160"/>
              <w:rPr>
                <w:rFonts w:cs="Times New Roman"/>
                <w:b/>
                <w:bCs/>
              </w:rPr>
            </w:pPr>
          </w:p>
        </w:tc>
        <w:tc>
          <w:tcPr>
            <w:tcW w:w="1460" w:type="dxa"/>
            <w:tcBorders>
              <w:top w:val="single" w:sz="4" w:space="0" w:color="auto"/>
              <w:left w:val="single" w:sz="4" w:space="0" w:color="auto"/>
              <w:bottom w:val="single" w:sz="4" w:space="0" w:color="auto"/>
              <w:right w:val="single" w:sz="4" w:space="0" w:color="auto"/>
            </w:tcBorders>
            <w:hideMark/>
          </w:tcPr>
          <w:p w:rsidR="00FC17A0" w:rsidRPr="00FC17A0" w:rsidRDefault="00FC17A0" w:rsidP="00FC17A0">
            <w:pPr>
              <w:spacing w:after="160"/>
              <w:rPr>
                <w:rFonts w:cs="Times New Roman"/>
                <w:b/>
                <w:bCs/>
              </w:rPr>
            </w:pPr>
            <w:r w:rsidRPr="00FC17A0">
              <w:rPr>
                <w:rFonts w:cs="Times New Roman"/>
              </w:rPr>
              <w:t>Technology Efficiency</w:t>
            </w:r>
          </w:p>
        </w:tc>
      </w:tr>
      <w:tr w:rsidR="00FC17A0" w:rsidRPr="00FC17A0" w:rsidTr="00FC17A0">
        <w:trPr>
          <w:trHeight w:val="309"/>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.905</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.906</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.910</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lastRenderedPageBreak/>
              <w:t>PE4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.895</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PE5</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.867</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PE6</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.920</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PE7</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.889</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DH1</w:t>
            </w:r>
          </w:p>
        </w:tc>
        <w:tc>
          <w:tcPr>
            <w:tcW w:w="11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993"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.912</w:t>
            </w: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DH2</w:t>
            </w:r>
          </w:p>
        </w:tc>
        <w:tc>
          <w:tcPr>
            <w:tcW w:w="11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993"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.767</w:t>
            </w: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DH3</w:t>
            </w:r>
          </w:p>
        </w:tc>
        <w:tc>
          <w:tcPr>
            <w:tcW w:w="11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993"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.895</w:t>
            </w: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DH4</w:t>
            </w:r>
          </w:p>
        </w:tc>
        <w:tc>
          <w:tcPr>
            <w:tcW w:w="11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993"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.813</w:t>
            </w: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b/>
                <w:bCs/>
              </w:rPr>
            </w:pPr>
            <w:r w:rsidRPr="00FC17A0">
              <w:rPr>
                <w:rFonts w:cs="Times New Roman"/>
                <w:b/>
                <w:bCs/>
              </w:rPr>
              <w:t> </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DH5</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.834</w:t>
            </w: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.717</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.785</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.873</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.901</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PS5</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.801</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PS6</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.932</w:t>
            </w: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.782</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.915</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.895</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.819</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OPD5</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.775</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OPD6</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.921</w:t>
            </w: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AS1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.907</w:t>
            </w: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AS2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.843</w:t>
            </w: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AS3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.765</w:t>
            </w: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b/>
                <w:bCs/>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AS4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.893</w:t>
            </w: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WT1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.881</w:t>
            </w: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lastRenderedPageBreak/>
              <w:t>WT2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.845</w:t>
            </w: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WT3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.917</w:t>
            </w: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WT4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.767</w:t>
            </w:r>
          </w:p>
        </w:tc>
        <w:tc>
          <w:tcPr>
            <w:tcW w:w="146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TE1</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.782</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TE2</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.834</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TE3</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.719</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TE4</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.927</w:t>
            </w:r>
          </w:p>
        </w:tc>
      </w:tr>
      <w:tr w:rsidR="00FC17A0" w:rsidRPr="00FC17A0" w:rsidTr="00FC17A0">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TE5</w:t>
            </w:r>
          </w:p>
        </w:tc>
        <w:tc>
          <w:tcPr>
            <w:tcW w:w="1149"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 </w:t>
            </w:r>
          </w:p>
        </w:tc>
        <w:tc>
          <w:tcPr>
            <w:tcW w:w="993"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35"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349"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70"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007" w:type="dxa"/>
            <w:tcBorders>
              <w:top w:val="single" w:sz="4" w:space="0" w:color="auto"/>
              <w:left w:val="single" w:sz="4" w:space="0" w:color="auto"/>
              <w:bottom w:val="single" w:sz="4" w:space="0" w:color="auto"/>
              <w:right w:val="single" w:sz="4" w:space="0" w:color="auto"/>
            </w:tcBorders>
            <w:noWrap/>
          </w:tcPr>
          <w:p w:rsidR="00FC17A0" w:rsidRPr="00FC17A0" w:rsidRDefault="00FC17A0" w:rsidP="00FC17A0">
            <w:pPr>
              <w:spacing w:after="160"/>
              <w:rPr>
                <w:rFonts w:cs="Times New Roman"/>
              </w:rPr>
            </w:pPr>
          </w:p>
        </w:tc>
        <w:tc>
          <w:tcPr>
            <w:tcW w:w="1460" w:type="dxa"/>
            <w:tcBorders>
              <w:top w:val="single" w:sz="4" w:space="0" w:color="auto"/>
              <w:left w:val="single" w:sz="4" w:space="0" w:color="auto"/>
              <w:bottom w:val="single" w:sz="4" w:space="0" w:color="auto"/>
              <w:right w:val="single" w:sz="4" w:space="0" w:color="auto"/>
            </w:tcBorders>
            <w:noWrap/>
            <w:hideMark/>
          </w:tcPr>
          <w:p w:rsidR="00FC17A0" w:rsidRPr="00FC17A0" w:rsidRDefault="00FC17A0" w:rsidP="00FC17A0">
            <w:pPr>
              <w:spacing w:after="160"/>
              <w:rPr>
                <w:rFonts w:cs="Times New Roman"/>
              </w:rPr>
            </w:pPr>
            <w:r w:rsidRPr="00FC17A0">
              <w:rPr>
                <w:rFonts w:cs="Times New Roman"/>
              </w:rPr>
              <w:t>.750</w:t>
            </w:r>
          </w:p>
        </w:tc>
      </w:tr>
    </w:tbl>
    <w:p w:rsidR="00FC17A0" w:rsidRPr="00FC17A0" w:rsidRDefault="00FC17A0" w:rsidP="00FC17A0">
      <w:pPr>
        <w:rPr>
          <w:rFonts w:cs="Times New Roman"/>
        </w:rPr>
      </w:pPr>
    </w:p>
    <w:p w:rsidR="00FC17A0" w:rsidRPr="00FC17A0" w:rsidRDefault="00FC17A0" w:rsidP="00FC17A0">
      <w:pPr>
        <w:rPr>
          <w:rFonts w:cs="Times New Roman"/>
        </w:rPr>
      </w:pPr>
      <w:r w:rsidRPr="00FC17A0">
        <w:rPr>
          <w:rFonts w:cs="Times New Roman"/>
        </w:rPr>
        <w:t>3.13.5. Model Summary</w:t>
      </w:r>
      <w:r w:rsidRPr="00FC17A0">
        <w:rPr>
          <w:rFonts w:cs="Times New Roman"/>
        </w:rPr>
        <w:tab/>
      </w:r>
    </w:p>
    <w:p w:rsidR="00FC17A0" w:rsidRPr="00386778" w:rsidRDefault="00386778" w:rsidP="00386778">
      <w:pPr>
        <w:ind w:left="720" w:firstLine="720"/>
        <w:rPr>
          <w:rFonts w:cs="Times New Roman"/>
          <w:lang w:val="en-US"/>
        </w:rPr>
      </w:pPr>
      <w:r w:rsidRPr="00386778">
        <w:rPr>
          <w:rFonts w:cs="Times New Roman"/>
          <w:lang w:val="en-US"/>
        </w:rPr>
        <w:t xml:space="preserve">The model summary table indicates the degree of correlation between the dependent variable and the model. R-squared is a statistical measure of how well the data fit the fitted regression line. It is also known as the coefficient of determination or the coefficient of multiple determinations for multiple regressions. </w:t>
      </w:r>
      <w:r w:rsidR="00FC17A0" w:rsidRPr="00FC17A0">
        <w:rPr>
          <w:rFonts w:cs="Times New Roman"/>
        </w:rPr>
        <w:t>The summary of the multiple linear regression model and statistics on overall fit are presented in this section. In order to examine the strength of the link between the variables and determine the model fit for this study, the Summary Model was run twice. The first time, the moderator variable was excluded, and the second time, it was included.</w:t>
      </w:r>
    </w:p>
    <w:p w:rsidR="00FC17A0" w:rsidRPr="00FC17A0" w:rsidRDefault="00FC17A0" w:rsidP="00386778">
      <w:pPr>
        <w:ind w:left="720" w:firstLine="720"/>
        <w:rPr>
          <w:rFonts w:cs="Times New Roman"/>
        </w:rPr>
      </w:pPr>
      <w:r w:rsidRPr="00FC17A0">
        <w:rPr>
          <w:rFonts w:cs="Times New Roman"/>
        </w:rPr>
        <w:t xml:space="preserve">Model 1, with the excluding of the moderator variable. The results can be referred in Table 3.11, which showed that the adjusted R² of the study model is .705 with the R² = .711. This means that the linear regression explains 71.1% of the variance in the data. </w:t>
      </w:r>
    </w:p>
    <w:p w:rsidR="00FC17A0" w:rsidRPr="00FC17A0" w:rsidRDefault="00FC17A0" w:rsidP="00FC17A0">
      <w:pPr>
        <w:rPr>
          <w:rFonts w:cs="Times New Roman"/>
          <w:b/>
          <w:lang w:val="en-MY"/>
        </w:rPr>
      </w:pPr>
      <w:bookmarkStart w:id="12" w:name="_Toc65501037"/>
      <w:bookmarkStart w:id="13" w:name="_Toc54314722"/>
      <w:bookmarkStart w:id="14" w:name="_Toc56082756"/>
      <w:bookmarkStart w:id="15" w:name="_Toc56100679"/>
      <w:bookmarkStart w:id="16" w:name="_Toc56266928"/>
      <w:r w:rsidRPr="00FC17A0">
        <w:rPr>
          <w:rFonts w:cs="Times New Roman"/>
          <w:b/>
          <w:lang w:val="en-MY"/>
        </w:rPr>
        <w:t xml:space="preserve">Table 3. </w:t>
      </w:r>
      <w:r w:rsidRPr="00FC17A0">
        <w:rPr>
          <w:rFonts w:cs="Times New Roman"/>
          <w:bCs/>
          <w:lang w:val="en-MY"/>
        </w:rPr>
        <w:fldChar w:fldCharType="begin"/>
      </w:r>
      <w:r w:rsidRPr="00FC17A0">
        <w:rPr>
          <w:rFonts w:cs="Times New Roman"/>
          <w:b/>
          <w:lang w:val="en-MY"/>
        </w:rPr>
        <w:instrText xml:space="preserve"> SEQ Table_3. \* ARABIC </w:instrText>
      </w:r>
      <w:r w:rsidRPr="00FC17A0">
        <w:rPr>
          <w:rFonts w:cs="Times New Roman"/>
          <w:bCs/>
          <w:lang w:val="en-MY"/>
        </w:rPr>
        <w:fldChar w:fldCharType="separate"/>
      </w:r>
      <w:r w:rsidRPr="00FC17A0">
        <w:rPr>
          <w:rFonts w:cs="Times New Roman"/>
          <w:b/>
          <w:lang w:val="en-MY"/>
        </w:rPr>
        <w:t>11</w:t>
      </w:r>
      <w:r w:rsidRPr="00FC17A0">
        <w:rPr>
          <w:rFonts w:cs="Times New Roman"/>
        </w:rPr>
        <w:fldChar w:fldCharType="end"/>
      </w:r>
      <w:r w:rsidRPr="00FC17A0">
        <w:rPr>
          <w:rFonts w:cs="Times New Roman"/>
          <w:b/>
          <w:lang w:val="en-MY"/>
        </w:rPr>
        <w:t xml:space="preserve"> Model Summary (Exclude Moderator)</w:t>
      </w:r>
      <w:bookmarkEnd w:id="12"/>
    </w:p>
    <w:p w:rsidR="00FC17A0" w:rsidRPr="00FC17A0" w:rsidRDefault="00FC17A0" w:rsidP="00FC17A0">
      <w:pPr>
        <w:rPr>
          <w:rFonts w:cs="Times New Roman"/>
          <w:bCs/>
          <w:i/>
          <w:iCs/>
          <w:lang w:val="en-MY"/>
        </w:rPr>
      </w:pPr>
      <w:r w:rsidRPr="00FC17A0">
        <w:rPr>
          <w:rFonts w:cs="Times New Roman"/>
          <w:bCs/>
          <w:i/>
          <w:iCs/>
          <w:lang w:val="en-MY"/>
        </w:rPr>
        <w:t>Model Summary (Exclude Moderator)</w:t>
      </w:r>
      <w:bookmarkEnd w:id="13"/>
      <w:bookmarkEnd w:id="14"/>
      <w:bookmarkEnd w:id="15"/>
      <w:bookmarkEnd w:id="16"/>
    </w:p>
    <w:tbl>
      <w:tblPr>
        <w:tblW w:w="879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83"/>
        <w:gridCol w:w="1530"/>
        <w:gridCol w:w="1622"/>
        <w:gridCol w:w="2227"/>
        <w:gridCol w:w="2228"/>
      </w:tblGrid>
      <w:tr w:rsidR="00FC17A0" w:rsidRPr="00FC17A0" w:rsidTr="00FC17A0">
        <w:trPr>
          <w:cantSplit/>
          <w:trHeight w:val="573"/>
        </w:trPr>
        <w:tc>
          <w:tcPr>
            <w:tcW w:w="1183" w:type="dxa"/>
            <w:tcBorders>
              <w:top w:val="single" w:sz="18" w:space="0" w:color="000000"/>
              <w:left w:val="single" w:sz="1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Model</w:t>
            </w:r>
          </w:p>
        </w:tc>
        <w:tc>
          <w:tcPr>
            <w:tcW w:w="1530" w:type="dxa"/>
            <w:tcBorders>
              <w:top w:val="single" w:sz="18" w:space="0" w:color="000000"/>
              <w:left w:val="single" w:sz="1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R</w:t>
            </w:r>
          </w:p>
        </w:tc>
        <w:tc>
          <w:tcPr>
            <w:tcW w:w="1622"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R Square</w:t>
            </w:r>
          </w:p>
        </w:tc>
        <w:tc>
          <w:tcPr>
            <w:tcW w:w="2228"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Adjusted R Square</w:t>
            </w:r>
          </w:p>
        </w:tc>
        <w:tc>
          <w:tcPr>
            <w:tcW w:w="2229" w:type="dxa"/>
            <w:tcBorders>
              <w:top w:val="single" w:sz="18" w:space="0" w:color="000000"/>
              <w:left w:val="single" w:sz="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Std. Error of the Estimate</w:t>
            </w:r>
          </w:p>
        </w:tc>
      </w:tr>
      <w:tr w:rsidR="00FC17A0" w:rsidRPr="00FC17A0" w:rsidTr="00FC17A0">
        <w:trPr>
          <w:cantSplit/>
          <w:trHeight w:val="280"/>
        </w:trPr>
        <w:tc>
          <w:tcPr>
            <w:tcW w:w="1183"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rsidR="00FC17A0" w:rsidRPr="00FC17A0" w:rsidRDefault="00FC17A0" w:rsidP="00FC17A0">
            <w:pPr>
              <w:rPr>
                <w:rFonts w:cs="Times New Roman"/>
              </w:rPr>
            </w:pPr>
            <w:r w:rsidRPr="00FC17A0">
              <w:rPr>
                <w:rFonts w:cs="Times New Roman"/>
              </w:rPr>
              <w:t>1</w:t>
            </w:r>
          </w:p>
        </w:tc>
        <w:tc>
          <w:tcPr>
            <w:tcW w:w="1530" w:type="dxa"/>
            <w:tcBorders>
              <w:top w:val="single" w:sz="18" w:space="0" w:color="000000"/>
              <w:left w:val="single" w:sz="1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.843</w:t>
            </w:r>
            <w:r w:rsidRPr="00FC17A0">
              <w:rPr>
                <w:rFonts w:cs="Times New Roman"/>
                <w:vertAlign w:val="superscript"/>
              </w:rPr>
              <w:t>a</w:t>
            </w:r>
          </w:p>
        </w:tc>
        <w:tc>
          <w:tcPr>
            <w:tcW w:w="1622"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.711</w:t>
            </w:r>
          </w:p>
        </w:tc>
        <w:tc>
          <w:tcPr>
            <w:tcW w:w="2228"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.705</w:t>
            </w:r>
          </w:p>
        </w:tc>
        <w:tc>
          <w:tcPr>
            <w:tcW w:w="2229" w:type="dxa"/>
            <w:tcBorders>
              <w:top w:val="single" w:sz="18" w:space="0" w:color="000000"/>
              <w:left w:val="single" w:sz="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.46730</w:t>
            </w:r>
          </w:p>
        </w:tc>
      </w:tr>
    </w:tbl>
    <w:p w:rsidR="00FC17A0" w:rsidRPr="00FC17A0" w:rsidRDefault="00FC17A0" w:rsidP="00FC17A0">
      <w:pPr>
        <w:rPr>
          <w:rFonts w:cs="Times New Roman"/>
        </w:rPr>
      </w:pPr>
    </w:p>
    <w:p w:rsidR="00FC17A0" w:rsidRPr="00FC17A0" w:rsidRDefault="00FC17A0" w:rsidP="00386778">
      <w:pPr>
        <w:ind w:left="720" w:firstLine="720"/>
        <w:rPr>
          <w:rFonts w:cs="Times New Roman"/>
        </w:rPr>
      </w:pPr>
      <w:r w:rsidRPr="00FC17A0">
        <w:rPr>
          <w:rFonts w:cs="Times New Roman"/>
        </w:rPr>
        <w:t>Model 2, with including the waqf blockchain technology as the moderator variable. The results can be referred in Table 3.12.</w:t>
      </w:r>
    </w:p>
    <w:p w:rsidR="00FC17A0" w:rsidRPr="00FC17A0" w:rsidRDefault="00FC17A0" w:rsidP="00386778">
      <w:pPr>
        <w:ind w:left="720" w:firstLine="720"/>
        <w:rPr>
          <w:rFonts w:cs="Times New Roman"/>
        </w:rPr>
      </w:pPr>
      <w:r w:rsidRPr="00FC17A0">
        <w:rPr>
          <w:rFonts w:cs="Times New Roman"/>
        </w:rPr>
        <w:t xml:space="preserve">The results showed that with the R² equals .719, the adjusted R² of the study model is .707 which indicates the linear regression describing the variance in the data about 71.9%. From the linear </w:t>
      </w:r>
      <w:r w:rsidRPr="00FC17A0">
        <w:rPr>
          <w:rFonts w:cs="Times New Roman"/>
        </w:rPr>
        <w:lastRenderedPageBreak/>
        <w:t>regression model results it showed that, with including the moderator variables higher R² and adjusted R² (.719 and .707 respectively) which indicates the model fitness will be stronger including the moderator. In general, the higher the R-squared, the better the model fits the data.</w:t>
      </w:r>
      <w:bookmarkStart w:id="17" w:name="_Toc65501038"/>
      <w:bookmarkStart w:id="18" w:name="_Toc54314723"/>
      <w:bookmarkStart w:id="19" w:name="_Toc56100680"/>
      <w:bookmarkStart w:id="20" w:name="_Toc56266929"/>
    </w:p>
    <w:p w:rsidR="00FC17A0" w:rsidRPr="00FC17A0" w:rsidRDefault="00FC17A0" w:rsidP="00FC17A0">
      <w:pPr>
        <w:rPr>
          <w:rFonts w:cs="Times New Roman"/>
          <w:b/>
          <w:lang w:val="en-MY"/>
        </w:rPr>
      </w:pPr>
      <w:r w:rsidRPr="00FC17A0">
        <w:rPr>
          <w:rFonts w:cs="Times New Roman"/>
          <w:b/>
          <w:lang w:val="en-MY"/>
        </w:rPr>
        <w:t xml:space="preserve">Table 3. </w:t>
      </w:r>
      <w:r w:rsidRPr="00FC17A0">
        <w:rPr>
          <w:rFonts w:cs="Times New Roman"/>
          <w:bCs/>
          <w:lang w:val="en-MY"/>
        </w:rPr>
        <w:fldChar w:fldCharType="begin"/>
      </w:r>
      <w:r w:rsidRPr="00FC17A0">
        <w:rPr>
          <w:rFonts w:cs="Times New Roman"/>
          <w:b/>
          <w:lang w:val="en-MY"/>
        </w:rPr>
        <w:instrText xml:space="preserve"> SEQ Table_3. \* ARABIC </w:instrText>
      </w:r>
      <w:r w:rsidRPr="00FC17A0">
        <w:rPr>
          <w:rFonts w:cs="Times New Roman"/>
          <w:bCs/>
          <w:lang w:val="en-MY"/>
        </w:rPr>
        <w:fldChar w:fldCharType="separate"/>
      </w:r>
      <w:r w:rsidRPr="00FC17A0">
        <w:rPr>
          <w:rFonts w:cs="Times New Roman"/>
          <w:b/>
          <w:lang w:val="en-MY"/>
        </w:rPr>
        <w:t>12</w:t>
      </w:r>
      <w:r w:rsidRPr="00FC17A0">
        <w:rPr>
          <w:rFonts w:cs="Times New Roman"/>
        </w:rPr>
        <w:fldChar w:fldCharType="end"/>
      </w:r>
      <w:r w:rsidRPr="00FC17A0">
        <w:rPr>
          <w:rFonts w:cs="Times New Roman"/>
          <w:b/>
          <w:lang w:val="en-MY"/>
        </w:rPr>
        <w:t xml:space="preserve"> </w:t>
      </w:r>
      <w:bookmarkEnd w:id="17"/>
    </w:p>
    <w:p w:rsidR="00FC17A0" w:rsidRPr="00FC17A0" w:rsidRDefault="00FC17A0" w:rsidP="00FC17A0">
      <w:pPr>
        <w:rPr>
          <w:rFonts w:cs="Times New Roman"/>
          <w:bCs/>
          <w:i/>
          <w:iCs/>
          <w:lang w:val="en-MY"/>
        </w:rPr>
      </w:pPr>
      <w:r w:rsidRPr="00FC17A0">
        <w:rPr>
          <w:rFonts w:cs="Times New Roman"/>
          <w:bCs/>
          <w:i/>
          <w:iCs/>
          <w:lang w:val="en-MY"/>
        </w:rPr>
        <w:t>Model Summary (Include Moderator)</w:t>
      </w:r>
      <w:bookmarkEnd w:id="18"/>
      <w:bookmarkEnd w:id="19"/>
      <w:bookmarkEnd w:id="20"/>
    </w:p>
    <w:tbl>
      <w:tblPr>
        <w:tblW w:w="904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16"/>
        <w:gridCol w:w="1574"/>
        <w:gridCol w:w="1669"/>
        <w:gridCol w:w="2292"/>
        <w:gridCol w:w="2294"/>
      </w:tblGrid>
      <w:tr w:rsidR="00FC17A0" w:rsidRPr="00FC17A0" w:rsidTr="00FC17A0">
        <w:trPr>
          <w:cantSplit/>
          <w:trHeight w:val="740"/>
        </w:trPr>
        <w:tc>
          <w:tcPr>
            <w:tcW w:w="1217" w:type="dxa"/>
            <w:tcBorders>
              <w:top w:val="single" w:sz="18" w:space="0" w:color="000000"/>
              <w:left w:val="single" w:sz="1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Model</w:t>
            </w:r>
          </w:p>
        </w:tc>
        <w:tc>
          <w:tcPr>
            <w:tcW w:w="1574" w:type="dxa"/>
            <w:tcBorders>
              <w:top w:val="single" w:sz="18" w:space="0" w:color="000000"/>
              <w:left w:val="single" w:sz="1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R</w:t>
            </w:r>
          </w:p>
        </w:tc>
        <w:tc>
          <w:tcPr>
            <w:tcW w:w="1669"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R Square</w:t>
            </w:r>
          </w:p>
        </w:tc>
        <w:tc>
          <w:tcPr>
            <w:tcW w:w="2292"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Adjusted R Square</w:t>
            </w:r>
          </w:p>
        </w:tc>
        <w:tc>
          <w:tcPr>
            <w:tcW w:w="2294" w:type="dxa"/>
            <w:tcBorders>
              <w:top w:val="single" w:sz="18" w:space="0" w:color="000000"/>
              <w:left w:val="single" w:sz="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Std. Error of the Estimate</w:t>
            </w:r>
          </w:p>
        </w:tc>
      </w:tr>
      <w:tr w:rsidR="00FC17A0" w:rsidRPr="00FC17A0" w:rsidTr="00FC17A0">
        <w:trPr>
          <w:cantSplit/>
          <w:trHeight w:val="361"/>
        </w:trPr>
        <w:tc>
          <w:tcPr>
            <w:tcW w:w="1217"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rsidR="00FC17A0" w:rsidRPr="00FC17A0" w:rsidRDefault="00FC17A0" w:rsidP="00FC17A0">
            <w:pPr>
              <w:rPr>
                <w:rFonts w:cs="Times New Roman"/>
              </w:rPr>
            </w:pPr>
            <w:r w:rsidRPr="00FC17A0">
              <w:rPr>
                <w:rFonts w:cs="Times New Roman"/>
              </w:rPr>
              <w:t>1</w:t>
            </w:r>
          </w:p>
        </w:tc>
        <w:tc>
          <w:tcPr>
            <w:tcW w:w="1574" w:type="dxa"/>
            <w:tcBorders>
              <w:top w:val="single" w:sz="18" w:space="0" w:color="000000"/>
              <w:left w:val="single" w:sz="1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.848</w:t>
            </w:r>
            <w:r w:rsidRPr="00FC17A0">
              <w:rPr>
                <w:rFonts w:cs="Times New Roman"/>
                <w:vertAlign w:val="superscript"/>
              </w:rPr>
              <w:t>a</w:t>
            </w:r>
          </w:p>
        </w:tc>
        <w:tc>
          <w:tcPr>
            <w:tcW w:w="1669"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.719</w:t>
            </w:r>
          </w:p>
        </w:tc>
        <w:tc>
          <w:tcPr>
            <w:tcW w:w="2292" w:type="dxa"/>
            <w:tcBorders>
              <w:top w:val="single" w:sz="18" w:space="0" w:color="000000"/>
              <w:left w:val="single" w:sz="8" w:space="0" w:color="000000"/>
              <w:bottom w:val="single" w:sz="18" w:space="0" w:color="000000"/>
              <w:right w:val="single" w:sz="8" w:space="0" w:color="000000"/>
            </w:tcBorders>
            <w:shd w:val="clear" w:color="auto" w:fill="FFFFFF"/>
            <w:hideMark/>
          </w:tcPr>
          <w:p w:rsidR="00FC17A0" w:rsidRPr="00FC17A0" w:rsidRDefault="00FC17A0" w:rsidP="00FC17A0">
            <w:pPr>
              <w:rPr>
                <w:rFonts w:cs="Times New Roman"/>
              </w:rPr>
            </w:pPr>
            <w:r w:rsidRPr="00FC17A0">
              <w:rPr>
                <w:rFonts w:cs="Times New Roman"/>
              </w:rPr>
              <w:t>.707</w:t>
            </w:r>
          </w:p>
        </w:tc>
        <w:tc>
          <w:tcPr>
            <w:tcW w:w="2294" w:type="dxa"/>
            <w:tcBorders>
              <w:top w:val="single" w:sz="18" w:space="0" w:color="000000"/>
              <w:left w:val="single" w:sz="8" w:space="0" w:color="000000"/>
              <w:bottom w:val="single" w:sz="18" w:space="0" w:color="000000"/>
              <w:right w:val="single" w:sz="18" w:space="0" w:color="000000"/>
            </w:tcBorders>
            <w:shd w:val="clear" w:color="auto" w:fill="FFFFFF"/>
            <w:hideMark/>
          </w:tcPr>
          <w:p w:rsidR="00FC17A0" w:rsidRPr="00FC17A0" w:rsidRDefault="00FC17A0" w:rsidP="00FC17A0">
            <w:pPr>
              <w:rPr>
                <w:rFonts w:cs="Times New Roman"/>
              </w:rPr>
            </w:pPr>
            <w:r w:rsidRPr="00FC17A0">
              <w:rPr>
                <w:rFonts w:cs="Times New Roman"/>
              </w:rPr>
              <w:t>.46572</w:t>
            </w:r>
          </w:p>
        </w:tc>
      </w:tr>
    </w:tbl>
    <w:p w:rsidR="00FC17A0" w:rsidRPr="00FC17A0" w:rsidRDefault="00FC17A0" w:rsidP="00FC17A0">
      <w:pPr>
        <w:rPr>
          <w:rFonts w:cs="Times New Roman"/>
        </w:rPr>
      </w:pPr>
    </w:p>
    <w:p w:rsidR="00FC17A0" w:rsidRPr="00FC17A0" w:rsidRDefault="00FC17A0" w:rsidP="00386778">
      <w:pPr>
        <w:ind w:firstLine="720"/>
        <w:rPr>
          <w:rFonts w:cs="Times New Roman"/>
          <w:b/>
        </w:rPr>
      </w:pPr>
      <w:r w:rsidRPr="00FC17A0">
        <w:rPr>
          <w:rFonts w:cs="Times New Roman"/>
          <w:b/>
        </w:rPr>
        <w:t>3.14. TECHNIQUE OF DATA ANALYSIS</w:t>
      </w:r>
    </w:p>
    <w:p w:rsidR="00FC17A0" w:rsidRPr="00386778" w:rsidRDefault="00386778" w:rsidP="00386778">
      <w:pPr>
        <w:ind w:left="720" w:firstLine="720"/>
        <w:rPr>
          <w:rFonts w:cs="Times New Roman"/>
          <w:lang w:val="en-US"/>
        </w:rPr>
      </w:pPr>
      <w:r w:rsidRPr="00386778">
        <w:rPr>
          <w:rFonts w:cs="Times New Roman"/>
          <w:lang w:val="en-US"/>
        </w:rPr>
        <w:t>The Statistical Package for Social Sciences (SPSS) software (IBM, SPSS Statistics, Version 26) will be used to transform and analyze data from patient surveys. Response bias, missing data, outliers, morality, linearity, homoscedasticity, and multicollinearity will all be examined during the screening process. SPSS will be used to analyze each of these pre-tests in order to examine the data landscape. Visual evaluation of dispersed plot diagrams will be used to filter outliers. The box Normality will be checked using a plot and histogram; Pearson correlation will be used to assess linearity; and Levene's test will be used to check homogeneity. Additionally, to visually verify that the connection between the dependent and independent variables is linear, scatter plots and partial regression plots will be employed</w:t>
      </w:r>
      <w:r w:rsidR="00FC17A0" w:rsidRPr="00FC17A0">
        <w:rPr>
          <w:rFonts w:cs="Times New Roman"/>
        </w:rPr>
        <w:t>.</w:t>
      </w:r>
    </w:p>
    <w:p w:rsidR="00FC17A0" w:rsidRPr="00386778" w:rsidRDefault="00386778" w:rsidP="00386778">
      <w:pPr>
        <w:ind w:left="720" w:firstLine="720"/>
        <w:rPr>
          <w:rFonts w:cs="Times New Roman"/>
          <w:lang w:val="en-US"/>
        </w:rPr>
      </w:pPr>
      <w:r w:rsidRPr="00386778">
        <w:rPr>
          <w:rFonts w:cs="Times New Roman"/>
          <w:lang w:val="en-US"/>
        </w:rPr>
        <w:t>Depending on how the data is distributed, descriptive statistics such as means, medians, standard deviations (SDs), frequencies (n), percentages (%), and interquartile ranges (IQRs) will be computed as needed. Chi-square tests will be used to evaluate differences between demographic variable subcategories</w:t>
      </w:r>
      <w:r w:rsidR="00FC17A0" w:rsidRPr="00FC17A0">
        <w:rPr>
          <w:rFonts w:cs="Times New Roman"/>
        </w:rPr>
        <w:t>.</w:t>
      </w:r>
    </w:p>
    <w:p w:rsidR="00FC17A0" w:rsidRDefault="00386778" w:rsidP="00386778">
      <w:pPr>
        <w:ind w:left="720" w:firstLine="720"/>
        <w:rPr>
          <w:rFonts w:cs="Times New Roman"/>
          <w:lang w:val="en-US"/>
        </w:rPr>
      </w:pPr>
      <w:r w:rsidRPr="00386778">
        <w:rPr>
          <w:rFonts w:cs="Times New Roman"/>
          <w:lang w:val="en-US"/>
        </w:rPr>
        <w:t>In order to find differences in demographic variables, the second stage will employ inferential statistics to examine variations across demographic subgroups. The normality of the data will determine the results of statistical tests. A parametric test will be used if the data is determined to be regularly distributed; if not, a non-parametric test will be used. In order to create the inter-correlation matrix and ascertain the correlations between the variables, Pearson's correlation coefficient will also be computed. The statistical significance level will be set at p &lt; 0.05 to reduce the possibility of type I errors. SPSS software will be used to do multiple regression analysis in order to ascertain the statistical relationship between the dependent and independent variables.</w:t>
      </w:r>
    </w:p>
    <w:p w:rsidR="00386778" w:rsidRPr="00386778" w:rsidRDefault="00386778" w:rsidP="00386778">
      <w:pPr>
        <w:ind w:left="720" w:firstLine="720"/>
        <w:rPr>
          <w:rFonts w:cs="Times New Roman"/>
          <w:lang w:val="en-US"/>
        </w:rPr>
      </w:pPr>
    </w:p>
    <w:p w:rsidR="00FC17A0" w:rsidRPr="00FC17A0" w:rsidRDefault="00FC17A0" w:rsidP="00386778">
      <w:pPr>
        <w:ind w:left="720"/>
        <w:rPr>
          <w:rFonts w:cs="Times New Roman"/>
          <w:b/>
        </w:rPr>
      </w:pPr>
      <w:r w:rsidRPr="00FC17A0">
        <w:rPr>
          <w:rFonts w:cs="Times New Roman"/>
          <w:b/>
        </w:rPr>
        <w:lastRenderedPageBreak/>
        <w:t>3.15. CHAPTER SUMMARY</w:t>
      </w:r>
    </w:p>
    <w:p w:rsidR="00FC17A0" w:rsidRPr="00FC17A0" w:rsidRDefault="00FC17A0" w:rsidP="00386778">
      <w:pPr>
        <w:ind w:left="720" w:firstLine="720"/>
        <w:rPr>
          <w:rFonts w:cs="Times New Roman"/>
        </w:rPr>
      </w:pPr>
      <w:r w:rsidRPr="00FC17A0">
        <w:rPr>
          <w:rFonts w:cs="Times New Roman"/>
        </w:rPr>
        <w:t xml:space="preserve">This chapter defines the research design and study methodology and explains the entire research process. This study utilizes a cross-sectional survey design where quantitative data is collected through patient surveys. The chapter also explains in detail the sampling and data collection procedures, and the data analysis techniques which are used to determine the accuracy of data and correlations among variables. The methodology for a pilot study design is also described, which will help to improve the research element, and allow reliability and validity of the research construct to be analysed before research is carried out on the actual population, the results of which will be described in the next chapter. </w:t>
      </w:r>
    </w:p>
    <w:p w:rsidR="00FC17A0" w:rsidRPr="00FC17A0" w:rsidRDefault="00FC17A0" w:rsidP="00FC17A0">
      <w:pPr>
        <w:rPr>
          <w:rFonts w:cs="Times New Roman"/>
        </w:rPr>
      </w:pPr>
    </w:p>
    <w:p w:rsidR="00FC17A0" w:rsidRPr="00FC17A0" w:rsidRDefault="00FC17A0" w:rsidP="00FC17A0">
      <w:pPr>
        <w:rPr>
          <w:rFonts w:cs="Times New Roman"/>
        </w:rPr>
      </w:pPr>
    </w:p>
    <w:p w:rsidR="00FC17A0" w:rsidRDefault="00FC17A0">
      <w:pPr>
        <w:rPr>
          <w:rFonts w:cs="Times New Roman"/>
        </w:rPr>
      </w:pPr>
    </w:p>
    <w:p w:rsidR="00E91236" w:rsidRDefault="00E91236"/>
    <w:p w:rsidR="0030673B" w:rsidRPr="0030673B" w:rsidRDefault="0030673B" w:rsidP="0030673B"/>
    <w:p w:rsidR="0030673B" w:rsidRDefault="0030673B" w:rsidP="0030673B">
      <w:pPr>
        <w:rPr>
          <w:b/>
          <w:lang w:val="en-US"/>
        </w:rPr>
      </w:pPr>
      <w:bookmarkStart w:id="21" w:name="_Toc54340707"/>
      <w:bookmarkStart w:id="22" w:name="_Toc56087986"/>
      <w:bookmarkStart w:id="23" w:name="_Toc56088235"/>
      <w:bookmarkStart w:id="24" w:name="_Toc65528067"/>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5E023D" w:rsidRDefault="005E023D" w:rsidP="0030673B">
      <w:pPr>
        <w:jc w:val="center"/>
        <w:rPr>
          <w:b/>
          <w:lang w:val="en-US"/>
        </w:rPr>
      </w:pPr>
    </w:p>
    <w:p w:rsidR="0030673B" w:rsidRPr="0030673B" w:rsidRDefault="0030673B" w:rsidP="0030673B">
      <w:pPr>
        <w:jc w:val="center"/>
        <w:rPr>
          <w:b/>
          <w:lang w:val="en-US"/>
        </w:rPr>
      </w:pPr>
      <w:r w:rsidRPr="0030673B">
        <w:rPr>
          <w:b/>
          <w:lang w:val="en-US"/>
        </w:rPr>
        <w:lastRenderedPageBreak/>
        <w:t>CHAPTER FOUR</w:t>
      </w:r>
      <w:bookmarkEnd w:id="21"/>
      <w:bookmarkEnd w:id="22"/>
      <w:bookmarkEnd w:id="23"/>
      <w:bookmarkEnd w:id="24"/>
    </w:p>
    <w:p w:rsidR="0030673B" w:rsidRPr="0030673B" w:rsidRDefault="0030673B" w:rsidP="0030673B">
      <w:pPr>
        <w:jc w:val="center"/>
        <w:rPr>
          <w:b/>
        </w:rPr>
      </w:pPr>
      <w:bookmarkStart w:id="25" w:name="_Toc54340708"/>
      <w:bookmarkStart w:id="26" w:name="_Toc56087987"/>
      <w:bookmarkStart w:id="27" w:name="_Toc56088236"/>
      <w:bookmarkStart w:id="28" w:name="_Toc65528068"/>
      <w:r w:rsidRPr="0030673B">
        <w:rPr>
          <w:b/>
        </w:rPr>
        <w:t>DATA ANALYSIS AND FINDINGS</w:t>
      </w:r>
      <w:bookmarkEnd w:id="25"/>
      <w:bookmarkEnd w:id="26"/>
      <w:bookmarkEnd w:id="27"/>
      <w:bookmarkEnd w:id="28"/>
    </w:p>
    <w:p w:rsidR="0030673B" w:rsidRPr="0030673B" w:rsidRDefault="0030673B" w:rsidP="0030673B">
      <w:pPr>
        <w:rPr>
          <w:lang w:val="en-MY"/>
        </w:rPr>
      </w:pPr>
    </w:p>
    <w:p w:rsidR="0030673B" w:rsidRPr="0030673B" w:rsidRDefault="0030673B" w:rsidP="0030673B">
      <w:pPr>
        <w:rPr>
          <w:bCs/>
          <w:lang w:val="en-US"/>
        </w:rPr>
      </w:pPr>
      <w:bookmarkStart w:id="29" w:name="_Toc54340709"/>
      <w:bookmarkStart w:id="30" w:name="_Toc56087988"/>
      <w:bookmarkStart w:id="31" w:name="_Toc56088237"/>
      <w:bookmarkStart w:id="32" w:name="_Toc65528069"/>
      <w:r w:rsidRPr="0030673B">
        <w:rPr>
          <w:b/>
          <w:bCs/>
          <w:lang w:val="en-US"/>
        </w:rPr>
        <w:t>4.1</w:t>
      </w:r>
      <w:r w:rsidRPr="0030673B">
        <w:rPr>
          <w:b/>
          <w:bCs/>
          <w:lang w:val="en-US"/>
        </w:rPr>
        <w:tab/>
        <w:t>INTRODUCTION</w:t>
      </w:r>
      <w:bookmarkEnd w:id="29"/>
      <w:bookmarkEnd w:id="30"/>
      <w:bookmarkEnd w:id="31"/>
      <w:bookmarkEnd w:id="32"/>
    </w:p>
    <w:p w:rsidR="005E023D" w:rsidRPr="005E023D" w:rsidRDefault="005E023D" w:rsidP="005E023D">
      <w:pPr>
        <w:ind w:firstLine="720"/>
        <w:rPr>
          <w:b/>
          <w:lang w:val="en-US"/>
        </w:rPr>
      </w:pPr>
      <w:r w:rsidRPr="005E023D">
        <w:rPr>
          <w:b/>
          <w:lang w:val="en-US"/>
        </w:rPr>
        <w:t>This chapter uses both descriptive and inferential statistics to explain the data analysis results, which were derived using the Statistical Package for Social Sciences (SPSS) and Partial Least Squares-Structural Equation Modeling (PLS-SEM). The section begins with a presentation of the key conclusions drawn from the preliminary analysis of survey results and data screening. The details of the measurement model (indicator loadings, internal consistency reliability, convergent and discriminant validity) are used to present the findings of PLS's assessment of the model quality. R-squared, predictive significance, impact, goodness of fit (</w:t>
      </w:r>
      <w:proofErr w:type="spellStart"/>
      <w:r w:rsidRPr="005E023D">
        <w:rPr>
          <w:b/>
          <w:lang w:val="en-US"/>
        </w:rPr>
        <w:t>GoF</w:t>
      </w:r>
      <w:proofErr w:type="spellEnd"/>
      <w:r w:rsidRPr="005E023D">
        <w:rPr>
          <w:b/>
          <w:lang w:val="en-US"/>
        </w:rPr>
        <w:t xml:space="preserve">), and path coefficients are used to evaluate the structural model and test the hypotheses. </w:t>
      </w:r>
    </w:p>
    <w:p w:rsidR="0030673B" w:rsidRPr="0030673B" w:rsidRDefault="005E023D" w:rsidP="0030673B">
      <w:pPr>
        <w:rPr>
          <w:lang w:val="en-US"/>
        </w:rPr>
      </w:pPr>
      <w:r>
        <w:rPr>
          <w:lang w:val="en-US"/>
        </w:rPr>
        <w:tab/>
      </w:r>
    </w:p>
    <w:p w:rsidR="0030673B" w:rsidRPr="0030673B" w:rsidRDefault="0030673B" w:rsidP="0030673B">
      <w:pPr>
        <w:rPr>
          <w:bCs/>
        </w:rPr>
      </w:pPr>
      <w:bookmarkStart w:id="33" w:name="_Toc445009512"/>
      <w:bookmarkStart w:id="34" w:name="_Toc451985746"/>
      <w:bookmarkStart w:id="35" w:name="_Toc491423665"/>
      <w:bookmarkStart w:id="36" w:name="_Toc505881945"/>
      <w:bookmarkStart w:id="37" w:name="_Toc54340710"/>
      <w:bookmarkStart w:id="38" w:name="_Toc56087989"/>
      <w:bookmarkStart w:id="39" w:name="_Toc56088238"/>
      <w:bookmarkStart w:id="40" w:name="_Toc65528070"/>
      <w:bookmarkStart w:id="41" w:name="_Toc445009513"/>
      <w:bookmarkStart w:id="42" w:name="_Toc451985747"/>
      <w:r w:rsidRPr="0030673B">
        <w:rPr>
          <w:b/>
          <w:bCs/>
        </w:rPr>
        <w:t>4.2</w:t>
      </w:r>
      <w:r w:rsidRPr="0030673B">
        <w:rPr>
          <w:b/>
          <w:bCs/>
        </w:rPr>
        <w:tab/>
        <w:t>ANALYSIS OF SURVEY RESPONSE</w:t>
      </w:r>
      <w:bookmarkEnd w:id="33"/>
      <w:bookmarkEnd w:id="34"/>
      <w:bookmarkEnd w:id="35"/>
      <w:bookmarkEnd w:id="36"/>
      <w:bookmarkEnd w:id="37"/>
      <w:bookmarkEnd w:id="38"/>
      <w:bookmarkEnd w:id="39"/>
      <w:bookmarkEnd w:id="40"/>
      <w:r w:rsidRPr="0030673B">
        <w:rPr>
          <w:b/>
          <w:bCs/>
        </w:rPr>
        <w:t xml:space="preserve"> </w:t>
      </w:r>
      <w:bookmarkStart w:id="43" w:name="_Toc505881946"/>
      <w:bookmarkStart w:id="44" w:name="_Toc491423666"/>
    </w:p>
    <w:p w:rsidR="0030673B" w:rsidRPr="0030673B" w:rsidRDefault="0030673B" w:rsidP="0030673B">
      <w:pPr>
        <w:rPr>
          <w:bCs/>
          <w:i/>
          <w:iCs/>
        </w:rPr>
      </w:pPr>
      <w:r w:rsidRPr="0030673B">
        <w:rPr>
          <w:b/>
          <w:i/>
          <w:iCs/>
        </w:rPr>
        <w:t xml:space="preserve"> </w:t>
      </w:r>
      <w:bookmarkStart w:id="45" w:name="_Toc54340711"/>
      <w:bookmarkStart w:id="46" w:name="_Toc56087990"/>
      <w:bookmarkStart w:id="47" w:name="_Toc56088239"/>
      <w:bookmarkStart w:id="48" w:name="_Toc65528071"/>
      <w:r w:rsidRPr="0030673B">
        <w:rPr>
          <w:b/>
          <w:bCs/>
          <w:i/>
          <w:iCs/>
        </w:rPr>
        <w:t>4.2.1</w:t>
      </w:r>
      <w:r w:rsidRPr="0030673B">
        <w:rPr>
          <w:b/>
          <w:bCs/>
          <w:i/>
          <w:iCs/>
        </w:rPr>
        <w:tab/>
        <w:t>Response Rates</w:t>
      </w:r>
      <w:bookmarkEnd w:id="41"/>
      <w:bookmarkEnd w:id="42"/>
      <w:bookmarkEnd w:id="43"/>
      <w:bookmarkEnd w:id="44"/>
      <w:bookmarkEnd w:id="45"/>
      <w:bookmarkEnd w:id="46"/>
      <w:bookmarkEnd w:id="47"/>
      <w:bookmarkEnd w:id="48"/>
      <w:r w:rsidRPr="0030673B">
        <w:rPr>
          <w:b/>
          <w:bCs/>
          <w:i/>
          <w:iCs/>
        </w:rPr>
        <w:t xml:space="preserve"> </w:t>
      </w:r>
    </w:p>
    <w:p w:rsidR="0030673B" w:rsidRPr="0030673B" w:rsidRDefault="0030673B" w:rsidP="005E023D">
      <w:pPr>
        <w:ind w:firstLine="720"/>
      </w:pPr>
      <w:r w:rsidRPr="0030673B">
        <w:t>Determining the respondents' background through frequency measurement is the fundamental descriptive statistic used to characterize their profile. The characteristics of the respondents—gender, age, degree of education, Average monthly income, position, Payment of treatment, and Marital Status—will be categorized using the analytical data provided by the respondents. These factors are used to get the results. Table 4.2 following that contains a tabulation of the respondents' detailed profiles.</w:t>
      </w:r>
    </w:p>
    <w:p w:rsidR="0030673B" w:rsidRPr="0030673B" w:rsidRDefault="0030673B" w:rsidP="0030673B">
      <w:r w:rsidRPr="0030673B">
        <w:rPr>
          <w:b/>
        </w:rPr>
        <w:t xml:space="preserve">Table 4. </w:t>
      </w:r>
      <w:r w:rsidRPr="0030673B">
        <w:rPr>
          <w:b/>
          <w:bCs/>
        </w:rPr>
        <w:fldChar w:fldCharType="begin"/>
      </w:r>
      <w:r w:rsidRPr="0030673B">
        <w:rPr>
          <w:b/>
        </w:rPr>
        <w:instrText xml:space="preserve"> SEQ Table_4. \* ARABIC </w:instrText>
      </w:r>
      <w:r w:rsidRPr="0030673B">
        <w:rPr>
          <w:b/>
          <w:bCs/>
        </w:rPr>
        <w:fldChar w:fldCharType="separate"/>
      </w:r>
      <w:r w:rsidRPr="0030673B">
        <w:rPr>
          <w:b/>
        </w:rPr>
        <w:t>1</w:t>
      </w:r>
      <w:r w:rsidRPr="0030673B">
        <w:fldChar w:fldCharType="end"/>
      </w:r>
      <w:r w:rsidRPr="0030673B">
        <w:rPr>
          <w:b/>
        </w:rPr>
        <w:t xml:space="preserve">  </w:t>
      </w:r>
    </w:p>
    <w:p w:rsidR="0030673B" w:rsidRPr="0030673B" w:rsidRDefault="0030673B" w:rsidP="0030673B">
      <w:pPr>
        <w:rPr>
          <w:bCs/>
          <w:i/>
          <w:iCs/>
        </w:rPr>
      </w:pPr>
      <w:r w:rsidRPr="0030673B">
        <w:rPr>
          <w:bCs/>
          <w:i/>
          <w:iCs/>
          <w:lang w:val="en-MY"/>
        </w:rPr>
        <w:t>Demographic Profile of Respondents of the Pilot Study (N=520)</w:t>
      </w:r>
      <w:r w:rsidRPr="0030673B">
        <w:rPr>
          <w:bCs/>
          <w:i/>
          <w:iCs/>
          <w:lang w:val="en-MY"/>
        </w:rPr>
        <w:fldChar w:fldCharType="begin"/>
      </w:r>
      <w:r w:rsidRPr="0030673B">
        <w:rPr>
          <w:bCs/>
          <w:i/>
          <w:iCs/>
          <w:lang w:val="en-MY"/>
        </w:rPr>
        <w:instrText xml:space="preserve"> LINK Excel.Sheet.12 "E:\\PhD MEDIU\\PhD THESIS\\QUESTIONAIRE\\questionaire 210 result 200720.xlsx" Sheet4!R2C2:R22C5 \a \f 5 \h  \* MERGEFORMAT </w:instrText>
      </w:r>
      <w:r w:rsidRPr="0030673B">
        <w:rPr>
          <w:bCs/>
          <w:i/>
          <w:iCs/>
          <w:lang w:val="en-MY"/>
        </w:rPr>
        <w:fldChar w:fldCharType="separate"/>
      </w:r>
    </w:p>
    <w:tbl>
      <w:tblPr>
        <w:tblStyle w:val="TableGrid"/>
        <w:tblW w:w="8673" w:type="dxa"/>
        <w:tblLook w:val="04A0" w:firstRow="1" w:lastRow="0" w:firstColumn="1" w:lastColumn="0" w:noHBand="0" w:noVBand="1"/>
      </w:tblPr>
      <w:tblGrid>
        <w:gridCol w:w="2626"/>
        <w:gridCol w:w="2768"/>
        <w:gridCol w:w="1601"/>
        <w:gridCol w:w="1678"/>
      </w:tblGrid>
      <w:tr w:rsidR="0030673B" w:rsidRPr="0030673B" w:rsidTr="0030673B">
        <w:trPr>
          <w:trHeight w:val="459"/>
        </w:trPr>
        <w:tc>
          <w:tcPr>
            <w:tcW w:w="2626"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rPr>
                <w:b/>
                <w:bCs/>
                <w:lang w:val="en-MY"/>
              </w:rPr>
              <w:t>Variables</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rPr>
                <w:b/>
                <w:bCs/>
                <w:lang w:val="en-MY"/>
              </w:rPr>
              <w:t>Coding</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rPr>
                <w:b/>
                <w:bCs/>
                <w:lang w:val="en-MY"/>
              </w:rPr>
              <w:t>Frequency</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rPr>
                <w:b/>
                <w:bCs/>
                <w:lang w:val="en-MY"/>
              </w:rPr>
              <w:t>Percentage</w:t>
            </w:r>
          </w:p>
        </w:tc>
      </w:tr>
      <w:tr w:rsidR="0030673B" w:rsidRPr="0030673B" w:rsidTr="0030673B">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 Gender</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Male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355</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68.27</w:t>
            </w:r>
          </w:p>
        </w:tc>
      </w:tr>
      <w:tr w:rsidR="0030673B" w:rsidRPr="0030673B" w:rsidTr="0030673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Female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165</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31.73</w:t>
            </w:r>
          </w:p>
        </w:tc>
      </w:tr>
      <w:tr w:rsidR="0030673B" w:rsidRPr="0030673B" w:rsidTr="0030673B">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 Age</w:t>
            </w:r>
          </w:p>
          <w:p w:rsidR="0030673B" w:rsidRPr="0030673B" w:rsidRDefault="0030673B" w:rsidP="0030673B">
            <w:pPr>
              <w:spacing w:after="160"/>
              <w:rPr>
                <w:lang w:val="en-MY"/>
              </w:rPr>
            </w:pPr>
            <w:r w:rsidRPr="0030673B">
              <w:rPr>
                <w:lang w:val="en-MY"/>
              </w:rPr>
              <w:t> </w:t>
            </w:r>
          </w:p>
          <w:p w:rsidR="0030673B" w:rsidRPr="0030673B" w:rsidRDefault="0030673B" w:rsidP="0030673B">
            <w:pPr>
              <w:spacing w:after="160"/>
              <w:rPr>
                <w:lang w:val="en-MY"/>
              </w:rPr>
            </w:pPr>
            <w:r w:rsidRPr="0030673B">
              <w:rPr>
                <w:lang w:val="en-MY"/>
              </w:rPr>
              <w:t> </w:t>
            </w:r>
          </w:p>
          <w:p w:rsidR="0030673B" w:rsidRPr="0030673B" w:rsidRDefault="0030673B" w:rsidP="0030673B">
            <w:pPr>
              <w:spacing w:after="160"/>
              <w:rPr>
                <w:lang w:val="en-MY"/>
              </w:rPr>
            </w:pPr>
            <w:r w:rsidRPr="0030673B">
              <w:rPr>
                <w:lang w:val="en-MY"/>
              </w:rPr>
              <w:t> </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Above 60</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30</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5.77</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50-59</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35</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6.73</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40-49</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48</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9.23</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30-39</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170</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32.69</w:t>
            </w:r>
          </w:p>
        </w:tc>
      </w:tr>
      <w:tr w:rsidR="0030673B" w:rsidRPr="0030673B" w:rsidTr="0030673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18-29</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237</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45.58</w:t>
            </w:r>
          </w:p>
        </w:tc>
      </w:tr>
      <w:tr w:rsidR="0030673B" w:rsidRPr="0030673B" w:rsidTr="0030673B">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Education</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Master or above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53</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10.19</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Bachelors/College degree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328</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63.08</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Secondary School</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92</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17.69</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Primary or below</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47</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9.04</w:t>
            </w:r>
          </w:p>
        </w:tc>
      </w:tr>
      <w:tr w:rsidR="0030673B" w:rsidRPr="0030673B" w:rsidTr="0030673B">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Average monthly income</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20k or above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21</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4.04</w:t>
            </w:r>
          </w:p>
        </w:tc>
      </w:tr>
      <w:tr w:rsidR="0030673B" w:rsidRPr="0030673B" w:rsidTr="0030673B">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15000-20000</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47</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9.04</w:t>
            </w:r>
          </w:p>
        </w:tc>
      </w:tr>
      <w:tr w:rsidR="0030673B" w:rsidRPr="0030673B" w:rsidTr="0030673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10000-15000</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86</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16.54</w:t>
            </w:r>
          </w:p>
        </w:tc>
      </w:tr>
      <w:tr w:rsidR="0030673B" w:rsidRPr="0030673B" w:rsidTr="0030673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5000-10000</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179</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34.42</w:t>
            </w:r>
          </w:p>
        </w:tc>
      </w:tr>
      <w:tr w:rsidR="0030673B" w:rsidRPr="0030673B" w:rsidTr="0030673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Less than 5000</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187</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35.96</w:t>
            </w:r>
          </w:p>
        </w:tc>
      </w:tr>
      <w:tr w:rsidR="0030673B" w:rsidRPr="0030673B" w:rsidTr="0030673B">
        <w:trPr>
          <w:trHeight w:val="315"/>
        </w:trPr>
        <w:tc>
          <w:tcPr>
            <w:tcW w:w="2626" w:type="dxa"/>
            <w:vMerge w:val="restart"/>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rPr>
                <w:lang w:val="en-MY"/>
              </w:rPr>
            </w:pPr>
            <w:r w:rsidRPr="0030673B">
              <w:rPr>
                <w:lang w:val="en-MY"/>
              </w:rPr>
              <w:t>Payment of treatment</w:t>
            </w:r>
          </w:p>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Self-finance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154</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29.62</w:t>
            </w:r>
          </w:p>
        </w:tc>
      </w:tr>
      <w:tr w:rsidR="0030673B" w:rsidRPr="0030673B" w:rsidTr="0030673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Insurance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194</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37.31</w:t>
            </w:r>
          </w:p>
        </w:tc>
      </w:tr>
      <w:tr w:rsidR="0030673B" w:rsidRPr="0030673B" w:rsidTr="0030673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Mixed self-finance and insurance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24</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4.62</w:t>
            </w:r>
          </w:p>
        </w:tc>
      </w:tr>
      <w:tr w:rsidR="0030673B" w:rsidRPr="0030673B" w:rsidTr="0030673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Other</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32</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6.15</w:t>
            </w:r>
          </w:p>
        </w:tc>
      </w:tr>
      <w:tr w:rsidR="0030673B" w:rsidRPr="0030673B" w:rsidTr="0030673B">
        <w:trPr>
          <w:trHeight w:val="286"/>
        </w:trPr>
        <w:tc>
          <w:tcPr>
            <w:tcW w:w="2626" w:type="dxa"/>
            <w:vMerge w:val="restart"/>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Marital Status</w:t>
            </w: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Single</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204</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39.23</w:t>
            </w:r>
          </w:p>
        </w:tc>
      </w:tr>
      <w:tr w:rsidR="0030673B" w:rsidRPr="0030673B" w:rsidTr="0030673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rPr>
                <w:lang w:val="en-MY"/>
              </w:rPr>
            </w:pPr>
          </w:p>
        </w:tc>
        <w:tc>
          <w:tcPr>
            <w:tcW w:w="276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Married</w:t>
            </w:r>
          </w:p>
        </w:tc>
        <w:tc>
          <w:tcPr>
            <w:tcW w:w="1601"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316</w:t>
            </w:r>
          </w:p>
        </w:tc>
        <w:tc>
          <w:tcPr>
            <w:tcW w:w="1678"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lang w:val="en-MY"/>
              </w:rPr>
            </w:pPr>
            <w:r w:rsidRPr="0030673B">
              <w:rPr>
                <w:lang w:val="en-MY"/>
              </w:rPr>
              <w:t>60.77</w:t>
            </w:r>
          </w:p>
        </w:tc>
      </w:tr>
    </w:tbl>
    <w:p w:rsidR="0030673B" w:rsidRPr="0030673B" w:rsidRDefault="0030673B" w:rsidP="0030673B">
      <w:r w:rsidRPr="0030673B">
        <w:fldChar w:fldCharType="end"/>
      </w:r>
      <w:bookmarkStart w:id="49" w:name="_Toc65501044"/>
      <w:bookmarkStart w:id="50" w:name="_Toc54314727"/>
      <w:bookmarkStart w:id="51" w:name="_Toc491165514"/>
      <w:bookmarkStart w:id="52" w:name="_Toc505768742"/>
      <w:bookmarkStart w:id="53" w:name="_Toc56082764"/>
      <w:bookmarkStart w:id="54" w:name="_Toc56099347"/>
      <w:bookmarkStart w:id="55" w:name="_Toc56100695"/>
      <w:bookmarkStart w:id="56" w:name="_Toc56266933"/>
    </w:p>
    <w:p w:rsidR="0030673B" w:rsidRPr="0030673B" w:rsidRDefault="0030673B" w:rsidP="005E023D">
      <w:pPr>
        <w:ind w:firstLine="720"/>
      </w:pPr>
      <w:r w:rsidRPr="0030673B">
        <w:t>A total of 520 data points is included in the analysis, with 31.73% of the sample being female and 68.27% being male. In addition, 45.58 percent of respondents were 18-29 and 32.69 percent were between 30 and 39 years old. In contrast, 9.23 percent of the population was between the ages of 39 and 49, 6.73 percent was between the ages of 50 and 59, and 5.77 percent was over the age of 60. Additionally, 63.08 percent of respondents had a bachelor's degree, followed by 17.69 % with a secondary school degree, 10.19 with a master and doctorate, 9.04 with a primary or below degree.</w:t>
      </w:r>
    </w:p>
    <w:p w:rsidR="0030673B" w:rsidRPr="0030673B" w:rsidRDefault="0030673B" w:rsidP="005E023D">
      <w:pPr>
        <w:ind w:firstLine="720"/>
        <w:rPr>
          <w:lang w:val="en-US"/>
        </w:rPr>
      </w:pPr>
      <w:r w:rsidRPr="0030673B">
        <w:t xml:space="preserve">Overall, 35.96 percent of respondents reported having monthly income less than 5000 and 34.42 percent were between 5000 and 10000. In contrast, 16.54 percent of the population having monthly income 10000-15000, 9.04 percent was between 15000 and 20000, and 4.04 percent was over the income of 20000. Furthermore, just 4.62% of respondents having Payment method mixed with self-finance and insurance, 37.31 percent having insurances, and 29.62 percent self-finance treatment payment and 6.15 percent were using </w:t>
      </w:r>
      <w:r w:rsidRPr="0030673B">
        <w:lastRenderedPageBreak/>
        <w:t>other payment method for treatment. Furthermore, 60.77 percent were married, and 39.23 percent were single from total population.</w:t>
      </w:r>
    </w:p>
    <w:p w:rsidR="0030673B" w:rsidRPr="0030673B" w:rsidRDefault="0030673B" w:rsidP="0030673B">
      <w:pPr>
        <w:rPr>
          <w:b/>
          <w:bCs/>
          <w:i/>
          <w:iCs/>
          <w:lang w:val="en-US"/>
        </w:rPr>
      </w:pPr>
      <w:r w:rsidRPr="0030673B">
        <w:rPr>
          <w:b/>
          <w:bCs/>
          <w:i/>
          <w:iCs/>
        </w:rPr>
        <w:t>4.2.2</w:t>
      </w:r>
      <w:r w:rsidRPr="0030673B">
        <w:rPr>
          <w:b/>
          <w:bCs/>
          <w:i/>
          <w:iCs/>
        </w:rPr>
        <w:tab/>
        <w:t>Respondent’s Profile</w:t>
      </w:r>
    </w:p>
    <w:p w:rsidR="0030673B" w:rsidRPr="0030673B" w:rsidRDefault="0030673B" w:rsidP="005E023D">
      <w:pPr>
        <w:ind w:firstLine="720"/>
      </w:pPr>
      <w:r w:rsidRPr="0030673B">
        <w:t>This research will first perform the data screening before implementing the required data analysis procedures. According to Byrne (2018), data screening will help identify the kind of data distribution, which will then dictate the data analysis method and, ultimately, the kind of test to do. Although the study uses PLS-SEM for the testing of the hypothesis (structural model) and the assessment of the model quality (measurements), where the distribution of data is not a necessary factor, the data screening procedure still needs to be explicit about the type of data distribution. To achieve the goal of data screening, the cases of missing data, normalcy, linear relationships, and multicollinearity tests were examined.</w:t>
      </w:r>
    </w:p>
    <w:p w:rsidR="0030673B" w:rsidRPr="0030673B" w:rsidRDefault="0030673B" w:rsidP="005E023D">
      <w:pPr>
        <w:ind w:firstLine="720"/>
        <w:rPr>
          <w:lang w:val="en-US"/>
        </w:rPr>
      </w:pPr>
      <w:r w:rsidRPr="0030673B">
        <w:t>Due to the possibility of contradictory results from the investigations, missing data presented a significant obstacle to the applied quantitative research that adopted this study (</w:t>
      </w:r>
      <w:proofErr w:type="spellStart"/>
      <w:r w:rsidRPr="0030673B">
        <w:t>Cavana</w:t>
      </w:r>
      <w:proofErr w:type="spellEnd"/>
      <w:r w:rsidRPr="0030673B">
        <w:t>, Delahaye, &amp; Sekaran, 2001). The PLS-SEM software is extremely sensitive to missing data; if an incomplete dataset is found, the system will completely stop. The dataset used in this investigation contained a total of twenty-five missing data points. They were therefore rejected from the study because they were unacceptable.</w:t>
      </w:r>
    </w:p>
    <w:p w:rsidR="0030673B" w:rsidRPr="0030673B" w:rsidRDefault="0030673B" w:rsidP="0030673B">
      <w:pPr>
        <w:rPr>
          <w:b/>
          <w:bCs/>
          <w:i/>
          <w:iCs/>
        </w:rPr>
      </w:pPr>
      <w:r w:rsidRPr="0030673B">
        <w:rPr>
          <w:b/>
          <w:bCs/>
          <w:i/>
          <w:iCs/>
        </w:rPr>
        <w:t>4.2.2</w:t>
      </w:r>
      <w:r w:rsidRPr="0030673B">
        <w:rPr>
          <w:b/>
          <w:bCs/>
          <w:i/>
          <w:iCs/>
        </w:rPr>
        <w:tab/>
        <w:t>Analysis of the Familiarity of Blockchain Technology and Bitcoin</w:t>
      </w:r>
    </w:p>
    <w:p w:rsidR="0030673B" w:rsidRPr="0030673B" w:rsidRDefault="0030673B" w:rsidP="005E023D">
      <w:pPr>
        <w:ind w:firstLine="720"/>
      </w:pPr>
      <w:r w:rsidRPr="0030673B">
        <w:t xml:space="preserve">According to Byrne (2018), normality analysis is used to </w:t>
      </w:r>
      <w:proofErr w:type="spellStart"/>
      <w:r w:rsidRPr="0030673B">
        <w:t>analyze</w:t>
      </w:r>
      <w:proofErr w:type="spellEnd"/>
      <w:r w:rsidRPr="0030673B">
        <w:t xml:space="preserve"> the symmetrical curve with the maximum frequency of scores in between the middle and lower scores at both ends. The evaluation of the normalcy assumption should take into account the distribution of scores for both dependent and independent variables, as well as the values of skewness and kurtosis (e.g., Kline, 2020; Pallant, 2001). Pallant (2011) states that most constructs are evaluated in social science research using scales that include positive or negative skews. Additionally, the second parameter on the dissemination schedule is kurtosis. It suggests the quality of the data collected around the central mean. </w:t>
      </w:r>
    </w:p>
    <w:p w:rsidR="0030673B" w:rsidRPr="0030673B" w:rsidRDefault="0030673B" w:rsidP="005E023D">
      <w:pPr>
        <w:ind w:firstLine="720"/>
      </w:pPr>
      <w:r w:rsidRPr="0030673B">
        <w:t>According to Hair et al. (2018), a distribution that is significantly skewed is implied by a range of skew between +1 and -1. Then, Kline (2020) proposed that skew should be within the range of +3 and -3. This study's skewness value falls between the -3 and +3 limit. Similarly, Kurtosis values between +3 and -3 are also considered acceptable (</w:t>
      </w:r>
      <w:proofErr w:type="spellStart"/>
      <w:r w:rsidRPr="0030673B">
        <w:t>Coakes</w:t>
      </w:r>
      <w:proofErr w:type="spellEnd"/>
      <w:r w:rsidRPr="0030673B">
        <w:t xml:space="preserve"> and Steed 2003). The kurtosis values in this study are all within the advised range of +3 to -3, as shown in Table 4.4 below. The results demonstrate that the dataset satisfies the normality assumption, which denotes a normal distribution of all variables. </w:t>
      </w:r>
    </w:p>
    <w:p w:rsidR="0030673B" w:rsidRPr="0030673B" w:rsidRDefault="0030673B" w:rsidP="0030673B">
      <w:pPr>
        <w:rPr>
          <w:b/>
        </w:rPr>
      </w:pPr>
      <w:r w:rsidRPr="0030673B">
        <w:rPr>
          <w:b/>
        </w:rPr>
        <w:t xml:space="preserve">Table 4. </w:t>
      </w:r>
      <w:r w:rsidRPr="0030673B">
        <w:fldChar w:fldCharType="begin"/>
      </w:r>
      <w:r w:rsidRPr="0030673B">
        <w:rPr>
          <w:b/>
        </w:rPr>
        <w:instrText xml:space="preserve"> SEQ Table_4. \* ARABIC </w:instrText>
      </w:r>
      <w:r w:rsidRPr="0030673B">
        <w:fldChar w:fldCharType="separate"/>
      </w:r>
      <w:r w:rsidRPr="0030673B">
        <w:rPr>
          <w:b/>
        </w:rPr>
        <w:t>4</w:t>
      </w:r>
      <w:r w:rsidRPr="0030673B">
        <w:fldChar w:fldCharType="end"/>
      </w:r>
      <w:r w:rsidRPr="0030673B">
        <w:rPr>
          <w:b/>
        </w:rPr>
        <w:t xml:space="preserve">  Skewness and Kurtosis for Reliability Analysis</w:t>
      </w:r>
      <w:bookmarkEnd w:id="49"/>
    </w:p>
    <w:p w:rsidR="0030673B" w:rsidRPr="0030673B" w:rsidRDefault="0030673B" w:rsidP="0030673B">
      <w:r w:rsidRPr="0030673B">
        <w:rPr>
          <w:i/>
          <w:iCs/>
        </w:rPr>
        <w:t>Skewness and Kurtosis for Reliability Analysis</w:t>
      </w:r>
      <w:bookmarkEnd w:id="50"/>
      <w:bookmarkEnd w:id="51"/>
      <w:bookmarkEnd w:id="52"/>
      <w:bookmarkEnd w:id="53"/>
      <w:bookmarkEnd w:id="54"/>
      <w:bookmarkEnd w:id="55"/>
      <w:bookmarkEnd w:id="56"/>
    </w:p>
    <w:tbl>
      <w:tblPr>
        <w:tblW w:w="922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722"/>
        <w:gridCol w:w="1171"/>
        <w:gridCol w:w="1711"/>
        <w:gridCol w:w="1621"/>
      </w:tblGrid>
      <w:tr w:rsidR="0030673B" w:rsidRPr="0030673B" w:rsidTr="0030673B">
        <w:trPr>
          <w:cantSplit/>
        </w:trPr>
        <w:tc>
          <w:tcPr>
            <w:tcW w:w="4720" w:type="dxa"/>
            <w:vMerge w:val="restart"/>
            <w:tcBorders>
              <w:top w:val="single" w:sz="18" w:space="0" w:color="000000"/>
              <w:left w:val="single" w:sz="18" w:space="0" w:color="000000"/>
              <w:bottom w:val="nil"/>
              <w:right w:val="single" w:sz="18" w:space="0" w:color="000000"/>
            </w:tcBorders>
            <w:shd w:val="clear" w:color="auto" w:fill="FFFFFF"/>
          </w:tcPr>
          <w:p w:rsidR="0030673B" w:rsidRPr="0030673B" w:rsidRDefault="0030673B" w:rsidP="0030673B">
            <w:pPr>
              <w:rPr>
                <w:b/>
                <w:bCs/>
              </w:rPr>
            </w:pPr>
          </w:p>
          <w:p w:rsidR="0030673B" w:rsidRPr="0030673B" w:rsidRDefault="0030673B" w:rsidP="0030673B">
            <w:r w:rsidRPr="0030673B">
              <w:rPr>
                <w:b/>
                <w:bCs/>
              </w:rPr>
              <w:lastRenderedPageBreak/>
              <w:t>The study Variables</w:t>
            </w:r>
          </w:p>
        </w:tc>
        <w:tc>
          <w:tcPr>
            <w:tcW w:w="1170" w:type="dxa"/>
            <w:tcBorders>
              <w:top w:val="single" w:sz="18" w:space="0" w:color="000000"/>
              <w:left w:val="single" w:sz="18" w:space="0" w:color="000000"/>
              <w:bottom w:val="single" w:sz="8" w:space="0" w:color="000000"/>
              <w:right w:val="single" w:sz="8" w:space="0" w:color="000000"/>
            </w:tcBorders>
            <w:shd w:val="clear" w:color="auto" w:fill="FFFFFF"/>
            <w:hideMark/>
          </w:tcPr>
          <w:p w:rsidR="0030673B" w:rsidRPr="0030673B" w:rsidRDefault="0030673B" w:rsidP="0030673B">
            <w:pPr>
              <w:rPr>
                <w:b/>
                <w:bCs/>
              </w:rPr>
            </w:pPr>
            <w:r w:rsidRPr="0030673B">
              <w:rPr>
                <w:b/>
                <w:bCs/>
              </w:rPr>
              <w:lastRenderedPageBreak/>
              <w:t>N</w:t>
            </w:r>
          </w:p>
        </w:tc>
        <w:tc>
          <w:tcPr>
            <w:tcW w:w="1710" w:type="dxa"/>
            <w:tcBorders>
              <w:top w:val="single" w:sz="18" w:space="0" w:color="000000"/>
              <w:left w:val="single" w:sz="8" w:space="0" w:color="000000"/>
              <w:bottom w:val="single" w:sz="8" w:space="0" w:color="000000"/>
              <w:right w:val="single" w:sz="8" w:space="0" w:color="000000"/>
            </w:tcBorders>
            <w:shd w:val="clear" w:color="auto" w:fill="FFFFFF"/>
            <w:hideMark/>
          </w:tcPr>
          <w:p w:rsidR="0030673B" w:rsidRPr="0030673B" w:rsidRDefault="0030673B" w:rsidP="0030673B">
            <w:pPr>
              <w:rPr>
                <w:b/>
                <w:bCs/>
              </w:rPr>
            </w:pPr>
            <w:r w:rsidRPr="0030673B">
              <w:rPr>
                <w:b/>
                <w:bCs/>
              </w:rPr>
              <w:t>Skewness</w:t>
            </w:r>
          </w:p>
        </w:tc>
        <w:tc>
          <w:tcPr>
            <w:tcW w:w="1620" w:type="dxa"/>
            <w:tcBorders>
              <w:top w:val="single" w:sz="18" w:space="0" w:color="000000"/>
              <w:left w:val="single" w:sz="8" w:space="0" w:color="000000"/>
              <w:bottom w:val="single" w:sz="8" w:space="0" w:color="000000"/>
              <w:right w:val="single" w:sz="8" w:space="0" w:color="000000"/>
            </w:tcBorders>
            <w:shd w:val="clear" w:color="auto" w:fill="FFFFFF"/>
            <w:hideMark/>
          </w:tcPr>
          <w:p w:rsidR="0030673B" w:rsidRPr="0030673B" w:rsidRDefault="0030673B" w:rsidP="0030673B">
            <w:pPr>
              <w:rPr>
                <w:b/>
                <w:bCs/>
              </w:rPr>
            </w:pPr>
            <w:r w:rsidRPr="0030673B">
              <w:rPr>
                <w:b/>
                <w:bCs/>
              </w:rPr>
              <w:t>Kurtosis</w:t>
            </w:r>
          </w:p>
        </w:tc>
      </w:tr>
      <w:tr w:rsidR="0030673B" w:rsidRPr="0030673B" w:rsidTr="0030673B">
        <w:trPr>
          <w:cantSplit/>
        </w:trPr>
        <w:tc>
          <w:tcPr>
            <w:tcW w:w="4720" w:type="dxa"/>
            <w:vMerge/>
            <w:tcBorders>
              <w:top w:val="single" w:sz="18" w:space="0" w:color="000000"/>
              <w:left w:val="single" w:sz="18" w:space="0" w:color="000000"/>
              <w:bottom w:val="nil"/>
              <w:right w:val="single" w:sz="18" w:space="0" w:color="000000"/>
            </w:tcBorders>
            <w:vAlign w:val="center"/>
            <w:hideMark/>
          </w:tcPr>
          <w:p w:rsidR="0030673B" w:rsidRPr="0030673B" w:rsidRDefault="0030673B" w:rsidP="0030673B"/>
        </w:tc>
        <w:tc>
          <w:tcPr>
            <w:tcW w:w="1170" w:type="dxa"/>
            <w:tcBorders>
              <w:top w:val="single" w:sz="8" w:space="0" w:color="000000"/>
              <w:left w:val="single" w:sz="1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Statistic</w:t>
            </w:r>
          </w:p>
        </w:tc>
        <w:tc>
          <w:tcPr>
            <w:tcW w:w="1710" w:type="dxa"/>
            <w:tcBorders>
              <w:top w:val="single" w:sz="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Statistic</w:t>
            </w:r>
          </w:p>
        </w:tc>
        <w:tc>
          <w:tcPr>
            <w:tcW w:w="1620" w:type="dxa"/>
            <w:tcBorders>
              <w:top w:val="single" w:sz="8" w:space="0" w:color="000000"/>
              <w:left w:val="single" w:sz="8" w:space="0" w:color="000000"/>
              <w:bottom w:val="single" w:sz="18" w:space="0" w:color="000000"/>
              <w:right w:val="single" w:sz="18" w:space="0" w:color="000000"/>
            </w:tcBorders>
            <w:shd w:val="clear" w:color="auto" w:fill="FFFFFF"/>
            <w:hideMark/>
          </w:tcPr>
          <w:p w:rsidR="0030673B" w:rsidRPr="0030673B" w:rsidRDefault="0030673B" w:rsidP="0030673B">
            <w:pPr>
              <w:rPr>
                <w:b/>
                <w:bCs/>
              </w:rPr>
            </w:pPr>
            <w:r w:rsidRPr="0030673B">
              <w:rPr>
                <w:b/>
                <w:bCs/>
              </w:rPr>
              <w:t>Statistic</w:t>
            </w:r>
          </w:p>
        </w:tc>
      </w:tr>
      <w:tr w:rsidR="0030673B" w:rsidRPr="0030673B" w:rsidTr="0030673B">
        <w:trPr>
          <w:cantSplit/>
        </w:trPr>
        <w:tc>
          <w:tcPr>
            <w:tcW w:w="4720" w:type="dxa"/>
            <w:tcBorders>
              <w:top w:val="single" w:sz="18" w:space="0" w:color="000000"/>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 education:</w:t>
            </w:r>
          </w:p>
        </w:tc>
        <w:tc>
          <w:tcPr>
            <w:tcW w:w="1170" w:type="dxa"/>
            <w:tcBorders>
              <w:top w:val="single" w:sz="18" w:space="0" w:color="000000"/>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single" w:sz="18" w:space="0" w:color="000000"/>
              <w:left w:val="single" w:sz="8" w:space="0" w:color="000000"/>
              <w:bottom w:val="nil"/>
              <w:right w:val="single" w:sz="8" w:space="0" w:color="000000"/>
            </w:tcBorders>
            <w:shd w:val="clear" w:color="auto" w:fill="FFFFFF"/>
            <w:hideMark/>
          </w:tcPr>
          <w:p w:rsidR="0030673B" w:rsidRPr="0030673B" w:rsidRDefault="0030673B" w:rsidP="0030673B">
            <w:r w:rsidRPr="0030673B">
              <w:t>.679</w:t>
            </w:r>
          </w:p>
        </w:tc>
        <w:tc>
          <w:tcPr>
            <w:tcW w:w="1620" w:type="dxa"/>
            <w:tcBorders>
              <w:top w:val="single" w:sz="18" w:space="0" w:color="000000"/>
              <w:left w:val="single" w:sz="8" w:space="0" w:color="000000"/>
              <w:bottom w:val="nil"/>
              <w:right w:val="single" w:sz="18" w:space="0" w:color="000000"/>
            </w:tcBorders>
            <w:shd w:val="clear" w:color="auto" w:fill="FFFFFF"/>
            <w:hideMark/>
          </w:tcPr>
          <w:p w:rsidR="0030673B" w:rsidRPr="0030673B" w:rsidRDefault="0030673B" w:rsidP="0030673B">
            <w:r w:rsidRPr="0030673B">
              <w:t>1.867</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Digital health tools in patient care:</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-.546</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.830</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 satisfaction in terms of convenience, courtesy, and quality of care</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-.224</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-.659</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Patient's experiences of OPD services and facilities:</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.357</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1.997</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Accessibility of services:</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-.086</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.973</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Waiting times:</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.345</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-.198</w:t>
            </w:r>
          </w:p>
        </w:tc>
      </w:tr>
      <w:tr w:rsidR="0030673B" w:rsidRPr="0030673B" w:rsidTr="0030673B">
        <w:trPr>
          <w:cantSplit/>
        </w:trPr>
        <w:tc>
          <w:tcPr>
            <w:tcW w:w="4720" w:type="dxa"/>
            <w:tcBorders>
              <w:top w:val="nil"/>
              <w:left w:val="single" w:sz="18" w:space="0" w:color="000000"/>
              <w:bottom w:val="nil"/>
              <w:right w:val="single" w:sz="18" w:space="0" w:color="000000"/>
            </w:tcBorders>
            <w:shd w:val="clear" w:color="auto" w:fill="FFFFFF"/>
            <w:hideMark/>
          </w:tcPr>
          <w:p w:rsidR="0030673B" w:rsidRPr="0030673B" w:rsidRDefault="0030673B" w:rsidP="0030673B">
            <w:r w:rsidRPr="0030673B">
              <w:t>Technology Efficiency</w:t>
            </w:r>
          </w:p>
        </w:tc>
        <w:tc>
          <w:tcPr>
            <w:tcW w:w="117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-.238</w:t>
            </w:r>
          </w:p>
        </w:tc>
        <w:tc>
          <w:tcPr>
            <w:tcW w:w="1620"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1.483</w:t>
            </w:r>
          </w:p>
        </w:tc>
      </w:tr>
      <w:tr w:rsidR="0030673B" w:rsidRPr="0030673B" w:rsidTr="0030673B">
        <w:trPr>
          <w:cantSplit/>
        </w:trPr>
        <w:tc>
          <w:tcPr>
            <w:tcW w:w="4720" w:type="dxa"/>
            <w:tcBorders>
              <w:top w:val="nil"/>
              <w:left w:val="single" w:sz="18" w:space="0" w:color="000000"/>
              <w:bottom w:val="single" w:sz="18" w:space="0" w:color="000000"/>
              <w:right w:val="single" w:sz="18" w:space="0" w:color="000000"/>
            </w:tcBorders>
            <w:shd w:val="clear" w:color="auto" w:fill="FFFFFF"/>
            <w:vAlign w:val="center"/>
            <w:hideMark/>
          </w:tcPr>
          <w:p w:rsidR="0030673B" w:rsidRPr="0030673B" w:rsidRDefault="0030673B" w:rsidP="0030673B">
            <w:r w:rsidRPr="0030673B">
              <w:t>Valid N (listwise)</w:t>
            </w:r>
          </w:p>
        </w:tc>
        <w:tc>
          <w:tcPr>
            <w:tcW w:w="1170" w:type="dxa"/>
            <w:tcBorders>
              <w:top w:val="nil"/>
              <w:left w:val="single" w:sz="1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1710" w:type="dxa"/>
            <w:tcBorders>
              <w:top w:val="nil"/>
              <w:left w:val="single" w:sz="8" w:space="0" w:color="000000"/>
              <w:bottom w:val="single" w:sz="18" w:space="0" w:color="000000"/>
              <w:right w:val="single" w:sz="8" w:space="0" w:color="000000"/>
            </w:tcBorders>
            <w:shd w:val="clear" w:color="auto" w:fill="FFFFFF"/>
          </w:tcPr>
          <w:p w:rsidR="0030673B" w:rsidRPr="0030673B" w:rsidRDefault="0030673B" w:rsidP="0030673B"/>
        </w:tc>
        <w:tc>
          <w:tcPr>
            <w:tcW w:w="1620" w:type="dxa"/>
            <w:tcBorders>
              <w:top w:val="nil"/>
              <w:left w:val="single" w:sz="8" w:space="0" w:color="000000"/>
              <w:bottom w:val="single" w:sz="18" w:space="0" w:color="000000"/>
              <w:right w:val="single" w:sz="18" w:space="0" w:color="000000"/>
            </w:tcBorders>
            <w:shd w:val="clear" w:color="auto" w:fill="FFFFFF"/>
          </w:tcPr>
          <w:p w:rsidR="0030673B" w:rsidRPr="0030673B" w:rsidRDefault="0030673B" w:rsidP="0030673B"/>
        </w:tc>
      </w:tr>
    </w:tbl>
    <w:p w:rsidR="0030673B" w:rsidRPr="0030673B" w:rsidRDefault="0030673B" w:rsidP="0030673B"/>
    <w:p w:rsidR="0030673B" w:rsidRPr="0030673B" w:rsidRDefault="0030673B" w:rsidP="0030673B">
      <w:pPr>
        <w:rPr>
          <w:b/>
          <w:bCs/>
          <w:i/>
          <w:iCs/>
        </w:rPr>
      </w:pPr>
      <w:r w:rsidRPr="0030673B">
        <w:rPr>
          <w:b/>
          <w:bCs/>
          <w:i/>
          <w:iCs/>
        </w:rPr>
        <w:t xml:space="preserve">4.3.3 </w:t>
      </w:r>
      <w:r w:rsidRPr="0030673B">
        <w:rPr>
          <w:b/>
          <w:bCs/>
          <w:i/>
          <w:iCs/>
        </w:rPr>
        <w:tab/>
        <w:t>Test of Linearity</w:t>
      </w:r>
    </w:p>
    <w:p w:rsidR="0030673B" w:rsidRPr="0030673B" w:rsidRDefault="0030673B" w:rsidP="005E023D">
      <w:pPr>
        <w:ind w:firstLine="720"/>
      </w:pPr>
      <w:r w:rsidRPr="0030673B">
        <w:t>According to Tabachnick &amp; Fidell (2007), the linearity test is a necessary component and prerequisite for multivariate regression analysis. Because it predicts the right course of the hypotheses, the linearity test is essential for establishing a relationship between independent and dependent variables. A positive association is indicated by a linearity test result that is positive. When the variable is greater than one, Hair et al. (2018), recommended applying a partial regression plot to each independent variable. Therefore, the best representation within the equation is validated in this situation. To ascertain whether there is a linear relationship between the independent and dependent variables, a normal probability of standardized residual plot is employed in this study. The residual scores converge as a result, suggesting that the linearity condition was upheld.</w:t>
      </w:r>
    </w:p>
    <w:p w:rsidR="0030673B" w:rsidRPr="0030673B" w:rsidRDefault="0030673B" w:rsidP="0030673B">
      <w:pPr>
        <w:rPr>
          <w:b/>
          <w:bCs/>
          <w:i/>
          <w:iCs/>
        </w:rPr>
      </w:pPr>
      <w:bookmarkStart w:id="57" w:name="_Toc445009521"/>
      <w:bookmarkStart w:id="58" w:name="_Toc451985755"/>
      <w:bookmarkStart w:id="59" w:name="_Toc491423674"/>
      <w:bookmarkStart w:id="60" w:name="_Toc505881954"/>
      <w:r w:rsidRPr="0030673B">
        <w:rPr>
          <w:b/>
          <w:bCs/>
          <w:i/>
          <w:iCs/>
        </w:rPr>
        <w:t>4.3.3.1 Multicollinearity Test</w:t>
      </w:r>
      <w:bookmarkEnd w:id="57"/>
      <w:bookmarkEnd w:id="58"/>
      <w:bookmarkEnd w:id="59"/>
      <w:bookmarkEnd w:id="60"/>
      <w:r w:rsidRPr="0030673B">
        <w:rPr>
          <w:b/>
          <w:bCs/>
          <w:i/>
          <w:iCs/>
        </w:rPr>
        <w:t xml:space="preserve"> </w:t>
      </w:r>
    </w:p>
    <w:p w:rsidR="0030673B" w:rsidRPr="0030673B" w:rsidRDefault="0030673B" w:rsidP="005E023D">
      <w:pPr>
        <w:ind w:firstLine="720"/>
        <w:rPr>
          <w:lang w:val="en-US"/>
        </w:rPr>
      </w:pPr>
      <w:r w:rsidRPr="0030673B">
        <w:t xml:space="preserve">Hair et al. (2010) noted that to play on the results obtained from the evaluation of the suggested model, tests on the multicollinearity among the independent variables should be conducted first. When an independent variable rises and falls in sync with another independent variable, multicollinearity can be construed as signifying that there is a hurdle in the correlation matrix. The multicollinearity test focuses on the value of variance influence factor (VIF) and the tolerance value. As noted by Hair et al. (2010), tolerance value refers to the portion of variation of the selected independent variable not accounted by other independent variables. Meanwhile, the counterpart of tolerance or variation influence factor (VIF), according to the authors. In order to guarantee that multicollinearity is absent, the tolerance value and variance influence factor (VIF) cut-off </w:t>
      </w:r>
      <w:r w:rsidRPr="0030673B">
        <w:lastRenderedPageBreak/>
        <w:t xml:space="preserve">values are 0.10 and 10, respectively. This means that the tolerance value should be nearer 1.00 and the VIF value should be less than 10. </w:t>
      </w:r>
    </w:p>
    <w:p w:rsidR="0030673B" w:rsidRPr="0030673B" w:rsidRDefault="0030673B" w:rsidP="005E023D">
      <w:pPr>
        <w:ind w:firstLine="720"/>
        <w:rPr>
          <w:b/>
        </w:rPr>
      </w:pPr>
      <w:r w:rsidRPr="0030673B">
        <w:t>The collinearity statistics for each of the model's variables are shown in Table 4.5. VIF values varied from 1.79 to 1.91, and tolerance values ranged from .135 to 0.734. Therefore, the outcome indicated that the multicollinearity assumption, as stated in Table 4.5, was not broken.</w:t>
      </w:r>
      <w:r w:rsidRPr="0030673B">
        <w:br/>
      </w:r>
      <w:bookmarkStart w:id="61" w:name="_Toc65501045"/>
      <w:bookmarkStart w:id="62" w:name="_Toc54314728"/>
      <w:bookmarkStart w:id="63" w:name="_Toc56082765"/>
      <w:bookmarkStart w:id="64" w:name="_Toc56099348"/>
      <w:bookmarkStart w:id="65" w:name="_Toc56100696"/>
      <w:bookmarkStart w:id="66" w:name="_Toc56266934"/>
    </w:p>
    <w:p w:rsidR="0030673B" w:rsidRPr="0030673B" w:rsidRDefault="0030673B" w:rsidP="0030673B">
      <w:r w:rsidRPr="0030673B">
        <w:rPr>
          <w:b/>
        </w:rPr>
        <w:t xml:space="preserve">Table 4. </w:t>
      </w:r>
      <w:r w:rsidRPr="0030673B">
        <w:fldChar w:fldCharType="begin"/>
      </w:r>
      <w:r w:rsidRPr="0030673B">
        <w:rPr>
          <w:b/>
        </w:rPr>
        <w:instrText xml:space="preserve"> SEQ Table_4. \* ARABIC </w:instrText>
      </w:r>
      <w:r w:rsidRPr="0030673B">
        <w:fldChar w:fldCharType="separate"/>
      </w:r>
      <w:r w:rsidRPr="0030673B">
        <w:rPr>
          <w:b/>
        </w:rPr>
        <w:t>5</w:t>
      </w:r>
      <w:r w:rsidRPr="0030673B">
        <w:fldChar w:fldCharType="end"/>
      </w:r>
      <w:r w:rsidRPr="0030673B">
        <w:rPr>
          <w:b/>
        </w:rPr>
        <w:t xml:space="preserve">  Multicollinearity Test</w:t>
      </w:r>
      <w:bookmarkEnd w:id="61"/>
    </w:p>
    <w:p w:rsidR="0030673B" w:rsidRPr="0030673B" w:rsidRDefault="0030673B" w:rsidP="0030673B">
      <w:pPr>
        <w:rPr>
          <w:b/>
          <w:i/>
          <w:iCs/>
          <w:lang w:val="en-MY"/>
        </w:rPr>
      </w:pPr>
      <w:r w:rsidRPr="0030673B">
        <w:rPr>
          <w:bCs/>
          <w:i/>
          <w:iCs/>
          <w:lang w:val="en-MY"/>
        </w:rPr>
        <w:t>Multicollinearity Test</w:t>
      </w:r>
      <w:bookmarkEnd w:id="62"/>
      <w:bookmarkEnd w:id="63"/>
      <w:bookmarkEnd w:id="64"/>
      <w:bookmarkEnd w:id="65"/>
      <w:bookmarkEnd w:id="66"/>
    </w:p>
    <w:tbl>
      <w:tblPr>
        <w:tblW w:w="784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020"/>
        <w:gridCol w:w="1940"/>
      </w:tblGrid>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pPr>
              <w:rPr>
                <w:b/>
                <w:bCs/>
              </w:rPr>
            </w:pPr>
            <w:r w:rsidRPr="0030673B">
              <w:rPr>
                <w:b/>
                <w:bCs/>
              </w:rPr>
              <w:t>The study Variables</w:t>
            </w:r>
          </w:p>
        </w:tc>
        <w:tc>
          <w:tcPr>
            <w:tcW w:w="202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pPr>
              <w:rPr>
                <w:b/>
                <w:bCs/>
              </w:rPr>
            </w:pPr>
            <w:r w:rsidRPr="0030673B">
              <w:rPr>
                <w:b/>
                <w:bCs/>
              </w:rPr>
              <w:t>Tolerance</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pPr>
              <w:rPr>
                <w:b/>
                <w:bCs/>
              </w:rPr>
            </w:pPr>
            <w:r w:rsidRPr="0030673B">
              <w:rPr>
                <w:b/>
                <w:bCs/>
              </w:rPr>
              <w:t>VIF</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Patient Education</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0.251</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4.33</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Digital health tools in patient care</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0.734</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1.74</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Patient satisfaction in terms of convenience, courtesy, and quality of care</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0.487</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6.78</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Patient's experiences of OPD services and facilities</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0.413</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2.02</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Accessibility of services</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0.571</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1.91</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Waiting times</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0.321</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3.27</w:t>
            </w:r>
          </w:p>
        </w:tc>
      </w:tr>
      <w:tr w:rsidR="0030673B" w:rsidRPr="0030673B" w:rsidTr="0030673B">
        <w:trPr>
          <w:trHeight w:val="330"/>
        </w:trPr>
        <w:tc>
          <w:tcPr>
            <w:tcW w:w="388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Technology Efficiency</w:t>
            </w:r>
          </w:p>
        </w:tc>
        <w:tc>
          <w:tcPr>
            <w:tcW w:w="2020" w:type="dxa"/>
            <w:tcBorders>
              <w:top w:val="single" w:sz="4" w:space="0" w:color="auto"/>
              <w:left w:val="single" w:sz="4" w:space="0" w:color="auto"/>
              <w:bottom w:val="single" w:sz="4" w:space="0" w:color="auto"/>
              <w:right w:val="single" w:sz="4" w:space="0" w:color="auto"/>
            </w:tcBorders>
            <w:noWrap/>
            <w:vAlign w:val="bottom"/>
            <w:hideMark/>
          </w:tcPr>
          <w:p w:rsidR="0030673B" w:rsidRPr="0030673B" w:rsidRDefault="0030673B" w:rsidP="0030673B">
            <w:r w:rsidRPr="0030673B">
              <w:t>0.135</w:t>
            </w:r>
          </w:p>
        </w:tc>
        <w:tc>
          <w:tcPr>
            <w:tcW w:w="1940" w:type="dxa"/>
            <w:tcBorders>
              <w:top w:val="single" w:sz="4" w:space="0" w:color="auto"/>
              <w:left w:val="single" w:sz="4" w:space="0" w:color="auto"/>
              <w:bottom w:val="single" w:sz="4" w:space="0" w:color="auto"/>
              <w:right w:val="single" w:sz="4" w:space="0" w:color="auto"/>
            </w:tcBorders>
            <w:vAlign w:val="bottom"/>
            <w:hideMark/>
          </w:tcPr>
          <w:p w:rsidR="0030673B" w:rsidRPr="0030673B" w:rsidRDefault="0030673B" w:rsidP="0030673B">
            <w:r w:rsidRPr="0030673B">
              <w:t>5.87</w:t>
            </w:r>
          </w:p>
        </w:tc>
      </w:tr>
    </w:tbl>
    <w:p w:rsidR="0030673B" w:rsidRPr="0030673B" w:rsidRDefault="0030673B" w:rsidP="0030673B"/>
    <w:p w:rsidR="0030673B" w:rsidRPr="0030673B" w:rsidRDefault="0030673B" w:rsidP="0030673B">
      <w:pPr>
        <w:rPr>
          <w:bCs/>
        </w:rPr>
      </w:pPr>
      <w:bookmarkStart w:id="67" w:name="_Toc54340717"/>
      <w:bookmarkStart w:id="68" w:name="_Toc56087996"/>
      <w:bookmarkStart w:id="69" w:name="_Toc56088245"/>
      <w:bookmarkStart w:id="70" w:name="_Toc65528077"/>
      <w:r w:rsidRPr="0030673B">
        <w:rPr>
          <w:b/>
          <w:bCs/>
        </w:rPr>
        <w:t xml:space="preserve">4.4 </w:t>
      </w:r>
      <w:r w:rsidRPr="0030673B">
        <w:rPr>
          <w:b/>
          <w:bCs/>
        </w:rPr>
        <w:tab/>
        <w:t>DESCRIPTIVE ANALYSIS</w:t>
      </w:r>
      <w:bookmarkEnd w:id="67"/>
      <w:bookmarkEnd w:id="68"/>
      <w:bookmarkEnd w:id="69"/>
      <w:bookmarkEnd w:id="70"/>
    </w:p>
    <w:p w:rsidR="0030673B" w:rsidRPr="0030673B" w:rsidRDefault="0030673B" w:rsidP="005E023D">
      <w:pPr>
        <w:ind w:firstLine="720"/>
      </w:pPr>
      <w:r w:rsidRPr="0030673B">
        <w:t xml:space="preserve">Descriptive statistics analysis includes an overview of the sample as well as an explanation and discussion of the overall characteristics of the data. The variables for this specific study are displayed in Table 4.6 together with the mean, standard deviation, and maximum and minimum values of the constructs under analysis. For simplicity of comprehension, this study uses a 5-point Likert scale with three levels. The three levels are as follows: a score of less than 2.33 is considered low, a score of 3.67 or above is considered high, and a score that falls between the two is considered moderate. </w:t>
      </w:r>
    </w:p>
    <w:p w:rsidR="0030673B" w:rsidRPr="0030673B" w:rsidRDefault="0030673B" w:rsidP="005E023D">
      <w:pPr>
        <w:ind w:firstLine="720"/>
      </w:pPr>
      <w:r w:rsidRPr="0030673B">
        <w:t xml:space="preserve">Nearly every construct had a minimum value of 1.00 and a maximum value of 5.00, as seen in Table 4.6. According to the Likert scale used in this study, these numbers represent the lowest and greatest levels. Perce Accessibility of services also had the highest mean value of 4.690 and the standard deviation of 0.530, according to the statistics. Conversely, Digital health tools in patient care had a standard deviation of .798 and </w:t>
      </w:r>
      <w:r w:rsidRPr="0030673B">
        <w:lastRenderedPageBreak/>
        <w:t xml:space="preserve">mean value of 3.899. As a result, three mean value categories were identified: above (high), moderate (less than 3.67), and above 2.33.  As a result, it can be concluded that respondents generally had high opinions on </w:t>
      </w:r>
      <w:proofErr w:type="gramStart"/>
      <w:r w:rsidRPr="0030673B">
        <w:t>Patient</w:t>
      </w:r>
      <w:proofErr w:type="gramEnd"/>
      <w:r w:rsidRPr="0030673B">
        <w:t xml:space="preserve"> education, Digital health tools in patient care, Patient satisfaction in terms of convenience, Patient's experiences of OPD services and facilities, Accessibility of services, Waiting times, and Technology Efficiency. All of these variables' mean values are acceptable because they are greater than 2.33 and less than 3.67. The outcome can be found below in Table 4.6. </w:t>
      </w:r>
    </w:p>
    <w:p w:rsidR="0030673B" w:rsidRPr="0030673B" w:rsidRDefault="0030673B" w:rsidP="0030673B">
      <w:pPr>
        <w:rPr>
          <w:b/>
          <w:lang w:val="en-MY"/>
        </w:rPr>
      </w:pPr>
      <w:bookmarkStart w:id="71" w:name="_Toc65501046"/>
      <w:bookmarkStart w:id="72" w:name="_Toc54314729"/>
      <w:bookmarkStart w:id="73" w:name="_Toc56082766"/>
      <w:bookmarkStart w:id="74" w:name="_Toc56099349"/>
      <w:bookmarkStart w:id="75" w:name="_Toc56100697"/>
      <w:bookmarkStart w:id="76" w:name="_Toc56266935"/>
    </w:p>
    <w:p w:rsidR="0030673B" w:rsidRPr="0030673B" w:rsidRDefault="0030673B" w:rsidP="0030673B">
      <w:pPr>
        <w:rPr>
          <w:b/>
          <w:lang w:val="en-MY"/>
        </w:rPr>
      </w:pPr>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6</w:t>
      </w:r>
      <w:r w:rsidRPr="0030673B">
        <w:fldChar w:fldCharType="end"/>
      </w:r>
      <w:r w:rsidRPr="0030673B">
        <w:rPr>
          <w:b/>
          <w:lang w:val="en-MY"/>
        </w:rPr>
        <w:t xml:space="preserve">  Descriptive Statistics</w:t>
      </w:r>
      <w:bookmarkEnd w:id="71"/>
    </w:p>
    <w:p w:rsidR="0030673B" w:rsidRPr="0030673B" w:rsidRDefault="0030673B" w:rsidP="0030673B">
      <w:pPr>
        <w:rPr>
          <w:bCs/>
          <w:i/>
          <w:iCs/>
          <w:lang w:val="en-MY"/>
        </w:rPr>
      </w:pPr>
      <w:r w:rsidRPr="0030673B">
        <w:rPr>
          <w:bCs/>
          <w:i/>
          <w:iCs/>
          <w:lang w:val="en-MY"/>
        </w:rPr>
        <w:t>Descriptive Statistics</w:t>
      </w:r>
      <w:bookmarkEnd w:id="72"/>
      <w:bookmarkEnd w:id="73"/>
      <w:bookmarkEnd w:id="74"/>
      <w:bookmarkEnd w:id="75"/>
      <w:bookmarkEnd w:id="76"/>
    </w:p>
    <w:tbl>
      <w:tblPr>
        <w:tblW w:w="927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780"/>
        <w:gridCol w:w="630"/>
        <w:gridCol w:w="1220"/>
        <w:gridCol w:w="40"/>
        <w:gridCol w:w="1094"/>
        <w:gridCol w:w="993"/>
        <w:gridCol w:w="1513"/>
      </w:tblGrid>
      <w:tr w:rsidR="0030673B" w:rsidRPr="0030673B" w:rsidTr="0030673B">
        <w:trPr>
          <w:cantSplit/>
        </w:trPr>
        <w:tc>
          <w:tcPr>
            <w:tcW w:w="3780" w:type="dxa"/>
            <w:tcBorders>
              <w:top w:val="single" w:sz="18" w:space="0" w:color="000000"/>
              <w:left w:val="single" w:sz="18" w:space="0" w:color="000000"/>
              <w:bottom w:val="single" w:sz="18" w:space="0" w:color="000000"/>
              <w:right w:val="single" w:sz="18" w:space="0" w:color="000000"/>
            </w:tcBorders>
            <w:shd w:val="clear" w:color="auto" w:fill="FFFFFF"/>
            <w:hideMark/>
          </w:tcPr>
          <w:p w:rsidR="0030673B" w:rsidRPr="0030673B" w:rsidRDefault="0030673B" w:rsidP="0030673B">
            <w:r w:rsidRPr="0030673B">
              <w:rPr>
                <w:b/>
                <w:bCs/>
              </w:rPr>
              <w:t xml:space="preserve">The study Variables </w:t>
            </w:r>
          </w:p>
        </w:tc>
        <w:tc>
          <w:tcPr>
            <w:tcW w:w="630" w:type="dxa"/>
            <w:tcBorders>
              <w:top w:val="single" w:sz="18" w:space="0" w:color="000000"/>
              <w:left w:val="single" w:sz="1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N</w:t>
            </w:r>
          </w:p>
        </w:tc>
        <w:tc>
          <w:tcPr>
            <w:tcW w:w="1220" w:type="dxa"/>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Minimum</w:t>
            </w:r>
          </w:p>
        </w:tc>
        <w:tc>
          <w:tcPr>
            <w:tcW w:w="1134" w:type="dxa"/>
            <w:gridSpan w:val="2"/>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Maximum</w:t>
            </w:r>
          </w:p>
        </w:tc>
        <w:tc>
          <w:tcPr>
            <w:tcW w:w="993" w:type="dxa"/>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pPr>
              <w:rPr>
                <w:b/>
                <w:bCs/>
              </w:rPr>
            </w:pPr>
            <w:r w:rsidRPr="0030673B">
              <w:rPr>
                <w:b/>
                <w:bCs/>
              </w:rPr>
              <w:t>Mean</w:t>
            </w:r>
          </w:p>
        </w:tc>
        <w:tc>
          <w:tcPr>
            <w:tcW w:w="1513" w:type="dxa"/>
            <w:tcBorders>
              <w:top w:val="single" w:sz="18" w:space="0" w:color="000000"/>
              <w:left w:val="single" w:sz="8" w:space="0" w:color="000000"/>
              <w:bottom w:val="single" w:sz="18" w:space="0" w:color="000000"/>
              <w:right w:val="single" w:sz="18" w:space="0" w:color="000000"/>
            </w:tcBorders>
            <w:shd w:val="clear" w:color="auto" w:fill="FFFFFF"/>
            <w:hideMark/>
          </w:tcPr>
          <w:p w:rsidR="0030673B" w:rsidRPr="0030673B" w:rsidRDefault="0030673B" w:rsidP="0030673B">
            <w:pPr>
              <w:rPr>
                <w:b/>
                <w:bCs/>
              </w:rPr>
            </w:pPr>
            <w:r w:rsidRPr="0030673B">
              <w:rPr>
                <w:b/>
                <w:bCs/>
              </w:rPr>
              <w:t>Std. Deviation</w:t>
            </w:r>
          </w:p>
        </w:tc>
      </w:tr>
      <w:tr w:rsidR="0030673B" w:rsidRPr="0030673B" w:rsidTr="0030673B">
        <w:trPr>
          <w:cantSplit/>
        </w:trPr>
        <w:tc>
          <w:tcPr>
            <w:tcW w:w="3780" w:type="dxa"/>
            <w:tcBorders>
              <w:top w:val="single" w:sz="18" w:space="0" w:color="000000"/>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 education:</w:t>
            </w:r>
          </w:p>
        </w:tc>
        <w:tc>
          <w:tcPr>
            <w:tcW w:w="630" w:type="dxa"/>
            <w:tcBorders>
              <w:top w:val="single" w:sz="18" w:space="0" w:color="000000"/>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single" w:sz="18" w:space="0" w:color="000000"/>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single" w:sz="18" w:space="0" w:color="000000"/>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single" w:sz="18" w:space="0" w:color="000000"/>
              <w:left w:val="single" w:sz="8" w:space="0" w:color="000000"/>
              <w:bottom w:val="nil"/>
              <w:right w:val="single" w:sz="8" w:space="0" w:color="000000"/>
            </w:tcBorders>
            <w:shd w:val="clear" w:color="auto" w:fill="FFFFFF"/>
            <w:hideMark/>
          </w:tcPr>
          <w:p w:rsidR="0030673B" w:rsidRPr="0030673B" w:rsidRDefault="0030673B" w:rsidP="0030673B">
            <w:r w:rsidRPr="0030673B">
              <w:t>3.697</w:t>
            </w:r>
          </w:p>
        </w:tc>
        <w:tc>
          <w:tcPr>
            <w:tcW w:w="1513" w:type="dxa"/>
            <w:tcBorders>
              <w:top w:val="single" w:sz="18" w:space="0" w:color="000000"/>
              <w:left w:val="single" w:sz="8" w:space="0" w:color="000000"/>
              <w:bottom w:val="nil"/>
              <w:right w:val="single" w:sz="18" w:space="0" w:color="000000"/>
            </w:tcBorders>
            <w:shd w:val="clear" w:color="auto" w:fill="FFFFFF"/>
            <w:hideMark/>
          </w:tcPr>
          <w:p w:rsidR="0030673B" w:rsidRPr="0030673B" w:rsidRDefault="0030673B" w:rsidP="0030673B">
            <w:r w:rsidRPr="0030673B">
              <w:t>.744</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Digital health tools in patient care:</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3.899</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.798</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 satisfaction in terms of convenience, courtesy, and quality of care</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4.067</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.645</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Patient's experiences of OPD services and facilities:</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3.536</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.851</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Accessibility of services:</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4.690</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.530</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vAlign w:val="center"/>
            <w:hideMark/>
          </w:tcPr>
          <w:p w:rsidR="0030673B" w:rsidRPr="0030673B" w:rsidRDefault="0030673B" w:rsidP="0030673B">
            <w:r w:rsidRPr="0030673B">
              <w:t>Waiting times:</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3.257</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.698</w:t>
            </w:r>
          </w:p>
        </w:tc>
      </w:tr>
      <w:tr w:rsidR="0030673B" w:rsidRPr="0030673B" w:rsidTr="0030673B">
        <w:trPr>
          <w:cantSplit/>
        </w:trPr>
        <w:tc>
          <w:tcPr>
            <w:tcW w:w="3780" w:type="dxa"/>
            <w:tcBorders>
              <w:top w:val="nil"/>
              <w:left w:val="single" w:sz="18" w:space="0" w:color="000000"/>
              <w:bottom w:val="nil"/>
              <w:right w:val="single" w:sz="18" w:space="0" w:color="000000"/>
            </w:tcBorders>
            <w:shd w:val="clear" w:color="auto" w:fill="FFFFFF"/>
            <w:hideMark/>
          </w:tcPr>
          <w:p w:rsidR="0030673B" w:rsidRPr="0030673B" w:rsidRDefault="0030673B" w:rsidP="0030673B">
            <w:r w:rsidRPr="0030673B">
              <w:t>Technology Efficiency</w:t>
            </w:r>
          </w:p>
        </w:tc>
        <w:tc>
          <w:tcPr>
            <w:tcW w:w="630" w:type="dxa"/>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1.00</w:t>
            </w:r>
          </w:p>
        </w:tc>
        <w:tc>
          <w:tcPr>
            <w:tcW w:w="1094"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5.00</w:t>
            </w:r>
          </w:p>
        </w:tc>
        <w:tc>
          <w:tcPr>
            <w:tcW w:w="993" w:type="dxa"/>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3.460</w:t>
            </w:r>
          </w:p>
        </w:tc>
        <w:tc>
          <w:tcPr>
            <w:tcW w:w="1513" w:type="dxa"/>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.616</w:t>
            </w:r>
          </w:p>
        </w:tc>
      </w:tr>
      <w:tr w:rsidR="0030673B" w:rsidRPr="0030673B" w:rsidTr="0030673B">
        <w:trPr>
          <w:cantSplit/>
        </w:trPr>
        <w:tc>
          <w:tcPr>
            <w:tcW w:w="3780" w:type="dxa"/>
            <w:tcBorders>
              <w:top w:val="nil"/>
              <w:left w:val="single" w:sz="18" w:space="0" w:color="000000"/>
              <w:bottom w:val="single" w:sz="18" w:space="0" w:color="000000"/>
              <w:right w:val="single" w:sz="18" w:space="0" w:color="000000"/>
            </w:tcBorders>
            <w:shd w:val="clear" w:color="auto" w:fill="FFFFFF"/>
            <w:vAlign w:val="center"/>
            <w:hideMark/>
          </w:tcPr>
          <w:p w:rsidR="0030673B" w:rsidRPr="0030673B" w:rsidRDefault="0030673B" w:rsidP="0030673B">
            <w:r w:rsidRPr="0030673B">
              <w:t>Valid N (listwise)</w:t>
            </w:r>
          </w:p>
        </w:tc>
        <w:tc>
          <w:tcPr>
            <w:tcW w:w="630" w:type="dxa"/>
            <w:tcBorders>
              <w:top w:val="nil"/>
              <w:left w:val="single" w:sz="1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1260" w:type="dxa"/>
            <w:gridSpan w:val="2"/>
            <w:tcBorders>
              <w:top w:val="nil"/>
              <w:left w:val="single" w:sz="8" w:space="0" w:color="000000"/>
              <w:bottom w:val="single" w:sz="18" w:space="0" w:color="000000"/>
              <w:right w:val="single" w:sz="8" w:space="0" w:color="000000"/>
            </w:tcBorders>
            <w:shd w:val="clear" w:color="auto" w:fill="FFFFFF"/>
          </w:tcPr>
          <w:p w:rsidR="0030673B" w:rsidRPr="0030673B" w:rsidRDefault="0030673B" w:rsidP="0030673B"/>
        </w:tc>
        <w:tc>
          <w:tcPr>
            <w:tcW w:w="1094" w:type="dxa"/>
            <w:tcBorders>
              <w:top w:val="nil"/>
              <w:left w:val="single" w:sz="8" w:space="0" w:color="000000"/>
              <w:bottom w:val="single" w:sz="18" w:space="0" w:color="000000"/>
              <w:right w:val="single" w:sz="8" w:space="0" w:color="000000"/>
            </w:tcBorders>
            <w:shd w:val="clear" w:color="auto" w:fill="FFFFFF"/>
          </w:tcPr>
          <w:p w:rsidR="0030673B" w:rsidRPr="0030673B" w:rsidRDefault="0030673B" w:rsidP="0030673B"/>
        </w:tc>
        <w:tc>
          <w:tcPr>
            <w:tcW w:w="993" w:type="dxa"/>
            <w:tcBorders>
              <w:top w:val="nil"/>
              <w:left w:val="single" w:sz="8" w:space="0" w:color="000000"/>
              <w:bottom w:val="single" w:sz="18" w:space="0" w:color="000000"/>
              <w:right w:val="single" w:sz="8" w:space="0" w:color="000000"/>
            </w:tcBorders>
            <w:shd w:val="clear" w:color="auto" w:fill="FFFFFF"/>
          </w:tcPr>
          <w:p w:rsidR="0030673B" w:rsidRPr="0030673B" w:rsidRDefault="0030673B" w:rsidP="0030673B"/>
        </w:tc>
        <w:tc>
          <w:tcPr>
            <w:tcW w:w="1513" w:type="dxa"/>
            <w:tcBorders>
              <w:top w:val="nil"/>
              <w:left w:val="single" w:sz="8" w:space="0" w:color="000000"/>
              <w:bottom w:val="single" w:sz="18" w:space="0" w:color="000000"/>
              <w:right w:val="single" w:sz="18" w:space="0" w:color="000000"/>
            </w:tcBorders>
            <w:shd w:val="clear" w:color="auto" w:fill="FFFFFF"/>
          </w:tcPr>
          <w:p w:rsidR="0030673B" w:rsidRPr="0030673B" w:rsidRDefault="0030673B" w:rsidP="0030673B"/>
        </w:tc>
      </w:tr>
    </w:tbl>
    <w:p w:rsidR="0030673B" w:rsidRPr="0030673B" w:rsidRDefault="0030673B" w:rsidP="0030673B"/>
    <w:p w:rsidR="0030673B" w:rsidRPr="0030673B" w:rsidRDefault="0030673B" w:rsidP="0030673B">
      <w:pPr>
        <w:rPr>
          <w:bCs/>
        </w:rPr>
      </w:pPr>
      <w:bookmarkStart w:id="77" w:name="_Toc54340718"/>
      <w:bookmarkStart w:id="78" w:name="_Toc56087997"/>
      <w:bookmarkStart w:id="79" w:name="_Toc56088246"/>
      <w:bookmarkStart w:id="80" w:name="_Toc65528078"/>
      <w:r w:rsidRPr="0030673B">
        <w:rPr>
          <w:b/>
          <w:bCs/>
        </w:rPr>
        <w:t>4.5</w:t>
      </w:r>
      <w:r w:rsidRPr="0030673B">
        <w:rPr>
          <w:b/>
          <w:bCs/>
        </w:rPr>
        <w:tab/>
        <w:t>RELIABILITY ANALYSIS</w:t>
      </w:r>
      <w:bookmarkEnd w:id="77"/>
      <w:bookmarkEnd w:id="78"/>
      <w:bookmarkEnd w:id="79"/>
      <w:bookmarkEnd w:id="80"/>
      <w:r w:rsidRPr="0030673B">
        <w:rPr>
          <w:b/>
          <w:bCs/>
        </w:rPr>
        <w:t xml:space="preserve"> </w:t>
      </w:r>
    </w:p>
    <w:p w:rsidR="0030673B" w:rsidRPr="0030673B" w:rsidRDefault="0030673B" w:rsidP="005E023D">
      <w:pPr>
        <w:ind w:firstLine="720"/>
      </w:pPr>
      <w:r w:rsidRPr="0030673B">
        <w:t xml:space="preserve">Hayes (2020) defines reliability as the degree to which a measurement yields no variance in random error; hence, if a measurement contains random error, its reliability is poor. The consistency of a construct's element in their measurement procedures is evaluated by reliability of internal consistency (Sekaran and Bougie, 2010). Cronbach's alpha and composite reliability are the two primary statistics used to assess internal consistency reliability. These are the two instruments utilized in this analysis to evaluate reliability. Since the study is only getting started, this analysis is crucial, so the scale that is employed needs to be reliable and able to account for any irregularities. </w:t>
      </w:r>
    </w:p>
    <w:p w:rsidR="0030673B" w:rsidRPr="0030673B" w:rsidRDefault="0030673B" w:rsidP="005E023D">
      <w:pPr>
        <w:ind w:firstLine="720"/>
      </w:pPr>
      <w:r w:rsidRPr="0030673B">
        <w:lastRenderedPageBreak/>
        <w:t xml:space="preserve">Hayes (2020) noted the importance of divergence in the idea being measured. Reliability determines the degree of correlation between any two scales; therefore, a low scaled reliability will yield a low correlation value. The connections between two variables that can lead to incorrect conclusions were previously mentioned by Hayes (2020). According to Nunnally and Durham (1975), a dependability score of 0.80 is appropriate for fundamental research. However, the link between the scales will not be significantly impacted by a dependability value greater than 0.80. In contrast, Clark and Watson (2016) stated that a minimum alpha of 0.80 is necessary, defying the recommendation of Netemeyer et al. (2003) that an alpha value should not be less than 0.70.  According to Hair et al. (2010) and Pallant (2001), a construct must have a scale coefficient reading greater than 0.7 in order to be considered a valid measurement. The acceptable reliability level criteria, specifically for this study, is set at 0.70 and higher. </w:t>
      </w:r>
    </w:p>
    <w:p w:rsidR="0030673B" w:rsidRPr="0030673B" w:rsidRDefault="0030673B" w:rsidP="005E023D">
      <w:pPr>
        <w:ind w:firstLine="720"/>
      </w:pPr>
      <w:r w:rsidRPr="0030673B">
        <w:t>The Cronbach's Alpha for each construct that was higher than the suggested value of.70 is shown in Table 4.7 below. These findings confirm the validity of the internal consistency reliability for each concept. Consequently, all of the variables met the threshold value and were deemed to have fulfilled the requirements for internal consistency reliability and the ability to describe the phenomena.</w:t>
      </w:r>
    </w:p>
    <w:p w:rsidR="0030673B" w:rsidRPr="0030673B" w:rsidRDefault="0030673B" w:rsidP="0030673B">
      <w:pPr>
        <w:rPr>
          <w:bCs/>
          <w:i/>
          <w:iCs/>
          <w:lang w:val="en-MY"/>
        </w:rPr>
      </w:pPr>
      <w:r w:rsidRPr="0030673B">
        <w:rPr>
          <w:i/>
          <w:iCs/>
          <w:lang w:val="en-US"/>
        </w:rPr>
        <w:t xml:space="preserve">Reliability Analysis </w:t>
      </w:r>
    </w:p>
    <w:tbl>
      <w:tblPr>
        <w:tblStyle w:val="TableGrid"/>
        <w:tblW w:w="0" w:type="auto"/>
        <w:tblLook w:val="04A0" w:firstRow="1" w:lastRow="0" w:firstColumn="1" w:lastColumn="0" w:noHBand="0" w:noVBand="1"/>
      </w:tblPr>
      <w:tblGrid>
        <w:gridCol w:w="3116"/>
        <w:gridCol w:w="3117"/>
        <w:gridCol w:w="3117"/>
      </w:tblGrid>
      <w:tr w:rsidR="0030673B" w:rsidRPr="0030673B" w:rsidTr="0030673B">
        <w:tc>
          <w:tcPr>
            <w:tcW w:w="3116"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rPr>
                <w:b/>
                <w:bCs/>
              </w:rPr>
              <w:t>The study Variables</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rPr>
                <w:b/>
              </w:rPr>
              <w:t>No. of Items</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rPr>
                <w:b/>
                <w:bCs/>
              </w:rPr>
              <w:t>Cronbach's Alpha</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spacing w:after="160"/>
            </w:pPr>
            <w:r w:rsidRPr="0030673B">
              <w:t>Patient education</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7</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.868</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vAlign w:val="center"/>
          </w:tcPr>
          <w:p w:rsidR="0030673B" w:rsidRPr="0030673B" w:rsidRDefault="0030673B" w:rsidP="0030673B">
            <w:pPr>
              <w:spacing w:after="160"/>
            </w:pPr>
            <w:r w:rsidRPr="0030673B">
              <w:t>Digital health tools in patient care:</w:t>
            </w:r>
          </w:p>
          <w:p w:rsidR="0030673B" w:rsidRPr="0030673B" w:rsidRDefault="0030673B" w:rsidP="0030673B">
            <w:pPr>
              <w:spacing w:after="160"/>
            </w:pP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5</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.862</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Patient satisfaction in terms of convenience, courtesy, and quality of care</w:t>
            </w:r>
          </w:p>
          <w:p w:rsidR="0030673B" w:rsidRPr="0030673B" w:rsidRDefault="0030673B" w:rsidP="0030673B">
            <w:pPr>
              <w:spacing w:after="160"/>
            </w:pP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6</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.811</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Patient's experiences of OPD services and facilities:</w:t>
            </w:r>
          </w:p>
          <w:p w:rsidR="0030673B" w:rsidRPr="0030673B" w:rsidRDefault="0030673B" w:rsidP="0030673B">
            <w:pPr>
              <w:spacing w:after="160"/>
            </w:pP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6</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.913</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Accessibility of services:</w:t>
            </w:r>
          </w:p>
          <w:p w:rsidR="0030673B" w:rsidRPr="0030673B" w:rsidRDefault="0030673B" w:rsidP="0030673B">
            <w:pPr>
              <w:spacing w:after="160"/>
            </w:pP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4</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.897</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Waiting times:</w:t>
            </w:r>
          </w:p>
          <w:p w:rsidR="0030673B" w:rsidRPr="0030673B" w:rsidRDefault="0030673B" w:rsidP="0030673B">
            <w:pPr>
              <w:spacing w:after="160"/>
            </w:pP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4</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.833</w:t>
            </w:r>
          </w:p>
        </w:tc>
      </w:tr>
      <w:tr w:rsidR="0030673B" w:rsidRPr="0030673B" w:rsidTr="0030673B">
        <w:tc>
          <w:tcPr>
            <w:tcW w:w="3116"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lastRenderedPageBreak/>
              <w:t>Technology Efficiency</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5</w:t>
            </w:r>
          </w:p>
        </w:tc>
        <w:tc>
          <w:tcPr>
            <w:tcW w:w="311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pPr>
            <w:r w:rsidRPr="0030673B">
              <w:t>.797</w:t>
            </w:r>
          </w:p>
        </w:tc>
      </w:tr>
    </w:tbl>
    <w:p w:rsidR="0030673B" w:rsidRPr="0030673B" w:rsidRDefault="0030673B" w:rsidP="0030673B"/>
    <w:p w:rsidR="0030673B" w:rsidRPr="0030673B" w:rsidRDefault="0030673B" w:rsidP="0030673B">
      <w:pPr>
        <w:rPr>
          <w:bCs/>
        </w:rPr>
      </w:pPr>
      <w:bookmarkStart w:id="81" w:name="_Toc65528079"/>
      <w:r w:rsidRPr="0030673B">
        <w:rPr>
          <w:b/>
          <w:bCs/>
        </w:rPr>
        <w:t>4.6</w:t>
      </w:r>
      <w:r w:rsidRPr="0030673B">
        <w:rPr>
          <w:b/>
          <w:bCs/>
        </w:rPr>
        <w:tab/>
        <w:t>PEARSON CORRELATIONS ANALYSIS</w:t>
      </w:r>
      <w:bookmarkEnd w:id="81"/>
    </w:p>
    <w:p w:rsidR="0030673B" w:rsidRPr="0030673B" w:rsidRDefault="0030673B" w:rsidP="005E023D">
      <w:pPr>
        <w:ind w:firstLine="720"/>
      </w:pPr>
      <w:r w:rsidRPr="0030673B">
        <w:t>The Pearson product-moment correlation coefficient is used to quantify how strongly two variables are linearly related. It is commonly referred to as the correlation coefficient or Pearson's correlation. In cases where the variables do not exhibit a linear connection, the correlation coefficient fails to accurately depict the degree of association between the variables.</w:t>
      </w:r>
    </w:p>
    <w:p w:rsidR="0030673B" w:rsidRPr="0030673B" w:rsidRDefault="0030673B" w:rsidP="005E023D">
      <w:pPr>
        <w:ind w:firstLine="720"/>
        <w:rPr>
          <w:lang w:val="en-US"/>
        </w:rPr>
      </w:pPr>
      <w:r w:rsidRPr="0030673B">
        <w:t>The symbol "ρ" is used to quantify the population in Pearson's correlation, whereas "r" is used to calculate the sample. Since the focus of this talk is on using a sample, Pearson's correlation will be shown by the letter "r." The values (magnitude) and directions of the link, +</w:t>
      </w:r>
      <w:proofErr w:type="spellStart"/>
      <w:r w:rsidRPr="0030673B">
        <w:t>ve</w:t>
      </w:r>
      <w:proofErr w:type="spellEnd"/>
      <w:r w:rsidRPr="0030673B">
        <w:t xml:space="preserve"> or -</w:t>
      </w:r>
      <w:proofErr w:type="spellStart"/>
      <w:r w:rsidRPr="0030673B">
        <w:t>ve</w:t>
      </w:r>
      <w:proofErr w:type="spellEnd"/>
      <w:r w:rsidRPr="0030673B">
        <w:t xml:space="preserve">, in this specific correlation, represent the degree of effect one variable has on the other. The correlations' "r" value ranges from -1, which indicates the largest negative correlation direction, to +1, which indicates the strongest connection, and 0 indicates no link at all. The correlations between independent variables of the SME’s perceived </w:t>
      </w:r>
      <w:proofErr w:type="spellStart"/>
      <w:r w:rsidRPr="0030673B">
        <w:t>behavior</w:t>
      </w:r>
      <w:proofErr w:type="spellEnd"/>
      <w:r w:rsidRPr="0030673B">
        <w:t xml:space="preserve"> and the dependent variable of Corporate Waqf intention are reflected from the statistical analysis undertaken in this study, the “r” value (coefficient of correlation) among the variables involved is reflected and summarised under Table 4.8:</w:t>
      </w:r>
    </w:p>
    <w:p w:rsidR="0030673B" w:rsidRPr="0030673B" w:rsidRDefault="0030673B" w:rsidP="0030673B">
      <w:pPr>
        <w:rPr>
          <w:b/>
          <w:lang w:val="en-MY"/>
        </w:rPr>
      </w:pPr>
      <w:bookmarkStart w:id="82" w:name="_Toc65501048"/>
      <w:bookmarkStart w:id="83" w:name="_Toc54314731"/>
      <w:bookmarkStart w:id="84" w:name="_Toc56082768"/>
      <w:bookmarkStart w:id="85" w:name="_Toc56099351"/>
      <w:bookmarkStart w:id="86" w:name="_Toc56100699"/>
      <w:bookmarkStart w:id="87" w:name="_Toc56266937"/>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8</w:t>
      </w:r>
      <w:r w:rsidRPr="0030673B">
        <w:fldChar w:fldCharType="end"/>
      </w:r>
      <w:r w:rsidRPr="0030673B">
        <w:rPr>
          <w:b/>
          <w:lang w:val="en-MY"/>
        </w:rPr>
        <w:t xml:space="preserve"> Pearson Correlation Coefficients</w:t>
      </w:r>
      <w:bookmarkEnd w:id="82"/>
      <w:r w:rsidRPr="0030673B">
        <w:rPr>
          <w:b/>
          <w:lang w:val="en-MY"/>
        </w:rPr>
        <w:t xml:space="preserve"> </w:t>
      </w:r>
    </w:p>
    <w:p w:rsidR="0030673B" w:rsidRPr="0030673B" w:rsidRDefault="0030673B" w:rsidP="0030673B">
      <w:pPr>
        <w:rPr>
          <w:bCs/>
          <w:i/>
          <w:iCs/>
          <w:lang w:val="en-MY"/>
        </w:rPr>
      </w:pPr>
      <w:r w:rsidRPr="0030673B">
        <w:rPr>
          <w:bCs/>
          <w:i/>
          <w:iCs/>
          <w:lang w:val="en-MY"/>
        </w:rPr>
        <w:t>Pearson Correlation Coefficients</w:t>
      </w:r>
      <w:bookmarkEnd w:id="83"/>
      <w:bookmarkEnd w:id="84"/>
      <w:bookmarkEnd w:id="85"/>
      <w:bookmarkEnd w:id="86"/>
      <w:bookmarkEnd w:id="87"/>
    </w:p>
    <w:tbl>
      <w:tblPr>
        <w:tblW w:w="47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043"/>
        <w:gridCol w:w="2242"/>
        <w:gridCol w:w="990"/>
        <w:gridCol w:w="943"/>
        <w:gridCol w:w="833"/>
        <w:gridCol w:w="943"/>
        <w:gridCol w:w="941"/>
        <w:gridCol w:w="1045"/>
        <w:gridCol w:w="862"/>
      </w:tblGrid>
      <w:tr w:rsidR="0030673B" w:rsidRPr="0030673B" w:rsidTr="0030673B">
        <w:trPr>
          <w:cantSplit/>
        </w:trPr>
        <w:tc>
          <w:tcPr>
            <w:tcW w:w="5000" w:type="pct"/>
            <w:gridSpan w:val="9"/>
            <w:tcBorders>
              <w:top w:val="nil"/>
              <w:left w:val="nil"/>
              <w:bottom w:val="nil"/>
              <w:right w:val="nil"/>
            </w:tcBorders>
            <w:shd w:val="clear" w:color="auto" w:fill="FFFFFF"/>
            <w:hideMark/>
          </w:tcPr>
          <w:p w:rsidR="0030673B" w:rsidRPr="0030673B" w:rsidRDefault="0030673B" w:rsidP="0030673B">
            <w:r w:rsidRPr="0030673B">
              <w:rPr>
                <w:b/>
                <w:bCs/>
              </w:rPr>
              <w:t>Correlations</w:t>
            </w:r>
          </w:p>
        </w:tc>
      </w:tr>
      <w:tr w:rsidR="0030673B" w:rsidRPr="0030673B" w:rsidTr="0030673B">
        <w:trPr>
          <w:cantSplit/>
        </w:trPr>
        <w:tc>
          <w:tcPr>
            <w:tcW w:w="1669" w:type="pct"/>
            <w:gridSpan w:val="2"/>
            <w:tcBorders>
              <w:top w:val="single" w:sz="18" w:space="0" w:color="000000"/>
              <w:left w:val="single" w:sz="18" w:space="0" w:color="000000"/>
              <w:bottom w:val="single" w:sz="18" w:space="0" w:color="000000"/>
              <w:right w:val="nil"/>
            </w:tcBorders>
            <w:shd w:val="clear" w:color="auto" w:fill="FFFFFF"/>
          </w:tcPr>
          <w:p w:rsidR="0030673B" w:rsidRPr="0030673B" w:rsidRDefault="0030673B" w:rsidP="0030673B"/>
        </w:tc>
        <w:tc>
          <w:tcPr>
            <w:tcW w:w="503" w:type="pct"/>
            <w:tcBorders>
              <w:top w:val="single" w:sz="18" w:space="0" w:color="000000"/>
              <w:left w:val="single" w:sz="18" w:space="0" w:color="000000"/>
              <w:bottom w:val="single" w:sz="18" w:space="0" w:color="000000"/>
              <w:right w:val="single" w:sz="8" w:space="0" w:color="000000"/>
            </w:tcBorders>
            <w:shd w:val="clear" w:color="auto" w:fill="FFFFFF"/>
            <w:hideMark/>
          </w:tcPr>
          <w:p w:rsidR="0030673B" w:rsidRPr="0030673B" w:rsidRDefault="0030673B" w:rsidP="0030673B">
            <w:r w:rsidRPr="0030673B">
              <w:t>PE</w:t>
            </w:r>
          </w:p>
        </w:tc>
        <w:tc>
          <w:tcPr>
            <w:tcW w:w="479" w:type="pct"/>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DH</w:t>
            </w:r>
          </w:p>
        </w:tc>
        <w:tc>
          <w:tcPr>
            <w:tcW w:w="423" w:type="pct"/>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PS</w:t>
            </w:r>
          </w:p>
        </w:tc>
        <w:tc>
          <w:tcPr>
            <w:tcW w:w="479" w:type="pct"/>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OPD</w:t>
            </w:r>
          </w:p>
        </w:tc>
        <w:tc>
          <w:tcPr>
            <w:tcW w:w="478" w:type="pct"/>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AS</w:t>
            </w:r>
          </w:p>
        </w:tc>
        <w:tc>
          <w:tcPr>
            <w:tcW w:w="531" w:type="pct"/>
            <w:tcBorders>
              <w:top w:val="single" w:sz="18" w:space="0" w:color="000000"/>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WT</w:t>
            </w:r>
          </w:p>
        </w:tc>
        <w:tc>
          <w:tcPr>
            <w:tcW w:w="438" w:type="pct"/>
            <w:tcBorders>
              <w:top w:val="single" w:sz="18" w:space="0" w:color="000000"/>
              <w:left w:val="single" w:sz="8" w:space="0" w:color="000000"/>
              <w:bottom w:val="single" w:sz="18" w:space="0" w:color="000000"/>
              <w:right w:val="single" w:sz="18" w:space="0" w:color="000000"/>
            </w:tcBorders>
            <w:shd w:val="clear" w:color="auto" w:fill="FFFFFF"/>
            <w:hideMark/>
          </w:tcPr>
          <w:p w:rsidR="0030673B" w:rsidRPr="0030673B" w:rsidRDefault="0030673B" w:rsidP="0030673B">
            <w:r w:rsidRPr="0030673B">
              <w:t>TE</w:t>
            </w:r>
          </w:p>
        </w:tc>
      </w:tr>
      <w:tr w:rsidR="0030673B" w:rsidRPr="0030673B" w:rsidTr="0030673B">
        <w:trPr>
          <w:cantSplit/>
        </w:trPr>
        <w:tc>
          <w:tcPr>
            <w:tcW w:w="530" w:type="pct"/>
            <w:vMerge w:val="restart"/>
            <w:tcBorders>
              <w:top w:val="single" w:sz="18" w:space="0" w:color="000000"/>
              <w:left w:val="single" w:sz="18" w:space="0" w:color="000000"/>
              <w:bottom w:val="nil"/>
              <w:right w:val="nil"/>
            </w:tcBorders>
            <w:shd w:val="clear" w:color="auto" w:fill="FFFFFF"/>
            <w:vAlign w:val="center"/>
            <w:hideMark/>
          </w:tcPr>
          <w:p w:rsidR="0030673B" w:rsidRPr="0030673B" w:rsidRDefault="0030673B" w:rsidP="0030673B">
            <w:r w:rsidRPr="0030673B">
              <w:t>PE</w:t>
            </w:r>
          </w:p>
        </w:tc>
        <w:tc>
          <w:tcPr>
            <w:tcW w:w="1139" w:type="pct"/>
            <w:tcBorders>
              <w:top w:val="single" w:sz="18" w:space="0" w:color="000000"/>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single" w:sz="18" w:space="0" w:color="000000"/>
              <w:left w:val="single" w:sz="18" w:space="0" w:color="000000"/>
              <w:bottom w:val="nil"/>
              <w:right w:val="single" w:sz="8" w:space="0" w:color="000000"/>
            </w:tcBorders>
            <w:shd w:val="clear" w:color="auto" w:fill="FFFFFF"/>
            <w:hideMark/>
          </w:tcPr>
          <w:p w:rsidR="0030673B" w:rsidRPr="0030673B" w:rsidRDefault="0030673B" w:rsidP="0030673B">
            <w:r w:rsidRPr="0030673B">
              <w:t>1</w:t>
            </w:r>
          </w:p>
        </w:tc>
        <w:tc>
          <w:tcPr>
            <w:tcW w:w="479" w:type="pct"/>
            <w:tcBorders>
              <w:top w:val="single" w:sz="18" w:space="0" w:color="000000"/>
              <w:left w:val="single" w:sz="8" w:space="0" w:color="000000"/>
              <w:bottom w:val="nil"/>
              <w:right w:val="single" w:sz="8" w:space="0" w:color="000000"/>
            </w:tcBorders>
            <w:shd w:val="clear" w:color="auto" w:fill="FFFFFF"/>
          </w:tcPr>
          <w:p w:rsidR="0030673B" w:rsidRPr="0030673B" w:rsidRDefault="0030673B" w:rsidP="0030673B"/>
        </w:tc>
        <w:tc>
          <w:tcPr>
            <w:tcW w:w="423" w:type="pct"/>
            <w:tcBorders>
              <w:top w:val="single" w:sz="18" w:space="0" w:color="000000"/>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single" w:sz="18" w:space="0" w:color="000000"/>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single" w:sz="18" w:space="0" w:color="000000"/>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single" w:sz="18" w:space="0" w:color="000000"/>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single" w:sz="18" w:space="0" w:color="000000"/>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single" w:sz="18" w:space="0" w:color="000000"/>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single" w:sz="18" w:space="0" w:color="000000"/>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nil"/>
              <w:right w:val="nil"/>
            </w:tcBorders>
            <w:shd w:val="clear" w:color="auto" w:fill="FFFFFF"/>
            <w:vAlign w:val="center"/>
            <w:hideMark/>
          </w:tcPr>
          <w:p w:rsidR="0030673B" w:rsidRPr="0030673B" w:rsidRDefault="0030673B" w:rsidP="0030673B">
            <w:r w:rsidRPr="0030673B">
              <w:t>DH</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 425</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w:t>
            </w:r>
          </w:p>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nil"/>
              <w:right w:val="nil"/>
            </w:tcBorders>
            <w:shd w:val="clear" w:color="auto" w:fill="FFFFFF"/>
            <w:vAlign w:val="center"/>
            <w:hideMark/>
          </w:tcPr>
          <w:p w:rsidR="0030673B" w:rsidRPr="0030673B" w:rsidRDefault="0030673B" w:rsidP="0030673B">
            <w:r w:rsidRPr="0030673B">
              <w:t>PS</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.529</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.360</w:t>
            </w:r>
            <w:r w:rsidRPr="0030673B">
              <w:rPr>
                <w:vertAlign w:val="superscript"/>
              </w:rPr>
              <w:t>**</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w:t>
            </w:r>
          </w:p>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23"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nil"/>
              <w:right w:val="nil"/>
            </w:tcBorders>
            <w:shd w:val="clear" w:color="auto" w:fill="FFFFFF"/>
            <w:vAlign w:val="center"/>
            <w:hideMark/>
          </w:tcPr>
          <w:p w:rsidR="0030673B" w:rsidRPr="0030673B" w:rsidRDefault="0030673B" w:rsidP="0030673B">
            <w:r w:rsidRPr="0030673B">
              <w:lastRenderedPageBreak/>
              <w:t>OPD</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.728</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.370</w:t>
            </w:r>
            <w:r w:rsidRPr="0030673B">
              <w:rPr>
                <w:vertAlign w:val="superscript"/>
              </w:rPr>
              <w:t>**</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.491</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w:t>
            </w:r>
          </w:p>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nil"/>
              <w:right w:val="nil"/>
            </w:tcBorders>
            <w:shd w:val="clear" w:color="auto" w:fill="FFFFFF"/>
            <w:vAlign w:val="center"/>
            <w:hideMark/>
          </w:tcPr>
          <w:p w:rsidR="0030673B" w:rsidRPr="0030673B" w:rsidRDefault="0030673B" w:rsidP="0030673B">
            <w:r w:rsidRPr="0030673B">
              <w:t>AS</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.051</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.044</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.034</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.610</w:t>
            </w:r>
            <w:r w:rsidRPr="0030673B">
              <w:rPr>
                <w:vertAlign w:val="superscript"/>
              </w:rPr>
              <w:t>**</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w:t>
            </w:r>
          </w:p>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.377</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.630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.359</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8"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nil"/>
              <w:right w:val="nil"/>
            </w:tcBorders>
            <w:shd w:val="clear" w:color="auto" w:fill="FFFFFF"/>
            <w:vAlign w:val="center"/>
            <w:hideMark/>
          </w:tcPr>
          <w:p w:rsidR="0030673B" w:rsidRPr="0030673B" w:rsidRDefault="0030673B" w:rsidP="0030673B">
            <w:r w:rsidRPr="0030673B">
              <w:t>WT</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.324</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.534</w:t>
            </w:r>
            <w:r w:rsidRPr="0030673B">
              <w:rPr>
                <w:vertAlign w:val="superscript"/>
              </w:rPr>
              <w:t>**</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.427</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.873</w:t>
            </w:r>
            <w:r w:rsidRPr="0030673B">
              <w:rPr>
                <w:vertAlign w:val="superscript"/>
              </w:rPr>
              <w:t>**</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.133</w:t>
            </w:r>
          </w:p>
        </w:tc>
        <w:tc>
          <w:tcPr>
            <w:tcW w:w="531"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1</w:t>
            </w:r>
          </w:p>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.054</w:t>
            </w:r>
          </w:p>
        </w:tc>
        <w:tc>
          <w:tcPr>
            <w:tcW w:w="531" w:type="pct"/>
            <w:tcBorders>
              <w:top w:val="nil"/>
              <w:left w:val="single" w:sz="8" w:space="0" w:color="000000"/>
              <w:bottom w:val="nil"/>
              <w:right w:val="single" w:sz="8" w:space="0" w:color="000000"/>
            </w:tcBorders>
            <w:shd w:val="clear" w:color="auto" w:fill="FFFFFF"/>
          </w:tcPr>
          <w:p w:rsidR="0030673B" w:rsidRPr="0030673B" w:rsidRDefault="0030673B" w:rsidP="0030673B"/>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nil"/>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531"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520</w:t>
            </w:r>
          </w:p>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530" w:type="pct"/>
            <w:vMerge w:val="restart"/>
            <w:tcBorders>
              <w:top w:val="nil"/>
              <w:left w:val="single" w:sz="18" w:space="0" w:color="000000"/>
              <w:bottom w:val="single" w:sz="18" w:space="0" w:color="000000"/>
              <w:right w:val="nil"/>
            </w:tcBorders>
            <w:shd w:val="clear" w:color="auto" w:fill="FFFFFF"/>
            <w:vAlign w:val="center"/>
            <w:hideMark/>
          </w:tcPr>
          <w:p w:rsidR="0030673B" w:rsidRPr="0030673B" w:rsidRDefault="0030673B" w:rsidP="0030673B">
            <w:r w:rsidRPr="0030673B">
              <w:t>TE</w:t>
            </w:r>
          </w:p>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Pearson Correlation</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.171</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.430</w:t>
            </w:r>
            <w:r w:rsidRPr="0030673B">
              <w:rPr>
                <w:vertAlign w:val="superscript"/>
              </w:rPr>
              <w:t>**</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.537</w:t>
            </w:r>
            <w:r w:rsidRPr="0030673B">
              <w:rPr>
                <w:vertAlign w:val="superscript"/>
              </w:rPr>
              <w:t>**</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.605</w:t>
            </w:r>
            <w:r w:rsidRPr="0030673B">
              <w:rPr>
                <w:vertAlign w:val="superscript"/>
              </w:rPr>
              <w:t>**</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.308</w:t>
            </w:r>
            <w:r w:rsidRPr="0030673B">
              <w:rPr>
                <w:vertAlign w:val="superscript"/>
              </w:rPr>
              <w:t>**</w:t>
            </w:r>
          </w:p>
        </w:tc>
        <w:tc>
          <w:tcPr>
            <w:tcW w:w="531"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.593</w:t>
            </w:r>
            <w:r w:rsidRPr="0030673B">
              <w:rPr>
                <w:vertAlign w:val="superscript"/>
              </w:rPr>
              <w:t>**</w:t>
            </w:r>
          </w:p>
        </w:tc>
        <w:tc>
          <w:tcPr>
            <w:tcW w:w="438" w:type="pct"/>
            <w:tcBorders>
              <w:top w:val="nil"/>
              <w:left w:val="single" w:sz="8" w:space="0" w:color="000000"/>
              <w:bottom w:val="nil"/>
              <w:right w:val="single" w:sz="18" w:space="0" w:color="000000"/>
            </w:tcBorders>
            <w:shd w:val="clear" w:color="auto" w:fill="FFFFFF"/>
            <w:hideMark/>
          </w:tcPr>
          <w:p w:rsidR="0030673B" w:rsidRPr="0030673B" w:rsidRDefault="0030673B" w:rsidP="0030673B">
            <w:r w:rsidRPr="0030673B">
              <w:t>1</w:t>
            </w:r>
          </w:p>
        </w:tc>
      </w:tr>
      <w:tr w:rsidR="0030673B" w:rsidRPr="0030673B" w:rsidTr="0030673B">
        <w:trPr>
          <w:cantSplit/>
        </w:trPr>
        <w:tc>
          <w:tcPr>
            <w:tcW w:w="0" w:type="auto"/>
            <w:vMerge/>
            <w:tcBorders>
              <w:top w:val="nil"/>
              <w:left w:val="single" w:sz="18" w:space="0" w:color="000000"/>
              <w:bottom w:val="single" w:sz="18" w:space="0" w:color="000000"/>
              <w:right w:val="nil"/>
            </w:tcBorders>
            <w:vAlign w:val="center"/>
            <w:hideMark/>
          </w:tcPr>
          <w:p w:rsidR="0030673B" w:rsidRPr="0030673B" w:rsidRDefault="0030673B" w:rsidP="0030673B"/>
        </w:tc>
        <w:tc>
          <w:tcPr>
            <w:tcW w:w="1139" w:type="pct"/>
            <w:tcBorders>
              <w:top w:val="nil"/>
              <w:left w:val="nil"/>
              <w:bottom w:val="nil"/>
              <w:right w:val="single" w:sz="18" w:space="0" w:color="000000"/>
            </w:tcBorders>
            <w:shd w:val="clear" w:color="auto" w:fill="FFFFFF"/>
            <w:vAlign w:val="center"/>
            <w:hideMark/>
          </w:tcPr>
          <w:p w:rsidR="0030673B" w:rsidRPr="0030673B" w:rsidRDefault="0030673B" w:rsidP="0030673B">
            <w:r w:rsidRPr="0030673B">
              <w:t>Sig. (2-tailed)</w:t>
            </w:r>
          </w:p>
        </w:tc>
        <w:tc>
          <w:tcPr>
            <w:tcW w:w="503" w:type="pct"/>
            <w:tcBorders>
              <w:top w:val="nil"/>
              <w:left w:val="single" w:sz="1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23"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9"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78"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.002</w:t>
            </w:r>
          </w:p>
        </w:tc>
        <w:tc>
          <w:tcPr>
            <w:tcW w:w="531" w:type="pct"/>
            <w:tcBorders>
              <w:top w:val="nil"/>
              <w:left w:val="single" w:sz="8" w:space="0" w:color="000000"/>
              <w:bottom w:val="nil"/>
              <w:right w:val="single" w:sz="8" w:space="0" w:color="000000"/>
            </w:tcBorders>
            <w:shd w:val="clear" w:color="auto" w:fill="FFFFFF"/>
            <w:hideMark/>
          </w:tcPr>
          <w:p w:rsidR="0030673B" w:rsidRPr="0030673B" w:rsidRDefault="0030673B" w:rsidP="0030673B">
            <w:r w:rsidRPr="0030673B">
              <w:t>.000</w:t>
            </w:r>
          </w:p>
        </w:tc>
        <w:tc>
          <w:tcPr>
            <w:tcW w:w="438" w:type="pct"/>
            <w:tcBorders>
              <w:top w:val="nil"/>
              <w:left w:val="single" w:sz="8" w:space="0" w:color="000000"/>
              <w:bottom w:val="nil"/>
              <w:right w:val="single" w:sz="18" w:space="0" w:color="000000"/>
            </w:tcBorders>
            <w:shd w:val="clear" w:color="auto" w:fill="FFFFFF"/>
          </w:tcPr>
          <w:p w:rsidR="0030673B" w:rsidRPr="0030673B" w:rsidRDefault="0030673B" w:rsidP="0030673B"/>
        </w:tc>
      </w:tr>
      <w:tr w:rsidR="0030673B" w:rsidRPr="0030673B" w:rsidTr="0030673B">
        <w:trPr>
          <w:cantSplit/>
        </w:trPr>
        <w:tc>
          <w:tcPr>
            <w:tcW w:w="0" w:type="auto"/>
            <w:vMerge/>
            <w:tcBorders>
              <w:top w:val="nil"/>
              <w:left w:val="single" w:sz="18" w:space="0" w:color="000000"/>
              <w:bottom w:val="single" w:sz="18" w:space="0" w:color="000000"/>
              <w:right w:val="nil"/>
            </w:tcBorders>
            <w:vAlign w:val="center"/>
            <w:hideMark/>
          </w:tcPr>
          <w:p w:rsidR="0030673B" w:rsidRPr="0030673B" w:rsidRDefault="0030673B" w:rsidP="0030673B"/>
        </w:tc>
        <w:tc>
          <w:tcPr>
            <w:tcW w:w="1139" w:type="pct"/>
            <w:tcBorders>
              <w:top w:val="nil"/>
              <w:left w:val="nil"/>
              <w:bottom w:val="single" w:sz="18" w:space="0" w:color="000000"/>
              <w:right w:val="single" w:sz="18" w:space="0" w:color="000000"/>
            </w:tcBorders>
            <w:shd w:val="clear" w:color="auto" w:fill="FFFFFF"/>
            <w:vAlign w:val="center"/>
            <w:hideMark/>
          </w:tcPr>
          <w:p w:rsidR="0030673B" w:rsidRPr="0030673B" w:rsidRDefault="0030673B" w:rsidP="0030673B">
            <w:r w:rsidRPr="0030673B">
              <w:t>N</w:t>
            </w:r>
          </w:p>
        </w:tc>
        <w:tc>
          <w:tcPr>
            <w:tcW w:w="503" w:type="pct"/>
            <w:tcBorders>
              <w:top w:val="nil"/>
              <w:left w:val="single" w:sz="1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423" w:type="pct"/>
            <w:tcBorders>
              <w:top w:val="nil"/>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479" w:type="pct"/>
            <w:tcBorders>
              <w:top w:val="nil"/>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478" w:type="pct"/>
            <w:tcBorders>
              <w:top w:val="nil"/>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531" w:type="pct"/>
            <w:tcBorders>
              <w:top w:val="nil"/>
              <w:left w:val="single" w:sz="8" w:space="0" w:color="000000"/>
              <w:bottom w:val="single" w:sz="18" w:space="0" w:color="000000"/>
              <w:right w:val="single" w:sz="8" w:space="0" w:color="000000"/>
            </w:tcBorders>
            <w:shd w:val="clear" w:color="auto" w:fill="FFFFFF"/>
            <w:hideMark/>
          </w:tcPr>
          <w:p w:rsidR="0030673B" w:rsidRPr="0030673B" w:rsidRDefault="0030673B" w:rsidP="0030673B">
            <w:r w:rsidRPr="0030673B">
              <w:t>520</w:t>
            </w:r>
          </w:p>
        </w:tc>
        <w:tc>
          <w:tcPr>
            <w:tcW w:w="438" w:type="pct"/>
            <w:tcBorders>
              <w:top w:val="nil"/>
              <w:left w:val="single" w:sz="8" w:space="0" w:color="000000"/>
              <w:bottom w:val="single" w:sz="18" w:space="0" w:color="000000"/>
              <w:right w:val="single" w:sz="18" w:space="0" w:color="000000"/>
            </w:tcBorders>
            <w:shd w:val="clear" w:color="auto" w:fill="FFFFFF"/>
            <w:hideMark/>
          </w:tcPr>
          <w:p w:rsidR="0030673B" w:rsidRPr="0030673B" w:rsidRDefault="0030673B" w:rsidP="0030673B">
            <w:r w:rsidRPr="0030673B">
              <w:t>520</w:t>
            </w:r>
          </w:p>
        </w:tc>
      </w:tr>
      <w:tr w:rsidR="0030673B" w:rsidRPr="0030673B" w:rsidTr="0030673B">
        <w:trPr>
          <w:cantSplit/>
        </w:trPr>
        <w:tc>
          <w:tcPr>
            <w:tcW w:w="5000" w:type="pct"/>
            <w:gridSpan w:val="9"/>
            <w:tcBorders>
              <w:top w:val="nil"/>
              <w:left w:val="nil"/>
              <w:bottom w:val="nil"/>
              <w:right w:val="nil"/>
            </w:tcBorders>
            <w:shd w:val="clear" w:color="auto" w:fill="FFFFFF"/>
            <w:hideMark/>
          </w:tcPr>
          <w:p w:rsidR="0030673B" w:rsidRPr="0030673B" w:rsidRDefault="0030673B" w:rsidP="0030673B">
            <w:r w:rsidRPr="0030673B">
              <w:t>**. Correlation is significant at the 0.01 level (2-tailed).</w:t>
            </w:r>
          </w:p>
        </w:tc>
      </w:tr>
      <w:tr w:rsidR="0030673B" w:rsidRPr="0030673B" w:rsidTr="0030673B">
        <w:trPr>
          <w:cantSplit/>
        </w:trPr>
        <w:tc>
          <w:tcPr>
            <w:tcW w:w="5000" w:type="pct"/>
            <w:gridSpan w:val="9"/>
            <w:tcBorders>
              <w:top w:val="nil"/>
              <w:left w:val="nil"/>
              <w:bottom w:val="nil"/>
              <w:right w:val="nil"/>
            </w:tcBorders>
            <w:shd w:val="clear" w:color="auto" w:fill="FFFFFF"/>
          </w:tcPr>
          <w:p w:rsidR="0030673B" w:rsidRPr="0030673B" w:rsidRDefault="0030673B" w:rsidP="0030673B">
            <w:r w:rsidRPr="0030673B">
              <w:t>*. Correlation is significant at the 0.05 level (2-tailed).</w:t>
            </w:r>
          </w:p>
          <w:p w:rsidR="0030673B" w:rsidRPr="0030673B" w:rsidRDefault="0030673B" w:rsidP="0030673B"/>
        </w:tc>
      </w:tr>
    </w:tbl>
    <w:p w:rsidR="0030673B" w:rsidRPr="0030673B" w:rsidRDefault="0030673B" w:rsidP="005E023D">
      <w:pPr>
        <w:ind w:firstLine="720"/>
      </w:pPr>
      <w:bookmarkStart w:id="88" w:name="_Toc452177825"/>
      <w:bookmarkStart w:id="89" w:name="_Toc452177854"/>
      <w:bookmarkStart w:id="90" w:name="_Toc452178117"/>
      <w:bookmarkStart w:id="91" w:name="_Toc491165518"/>
      <w:bookmarkStart w:id="92" w:name="_Toc505768751"/>
      <w:bookmarkStart w:id="93" w:name="_Toc54314734"/>
      <w:bookmarkStart w:id="94" w:name="_Toc56082771"/>
      <w:bookmarkStart w:id="95" w:name="_Toc56099354"/>
      <w:bookmarkStart w:id="96" w:name="_Toc56100702"/>
      <w:bookmarkStart w:id="97" w:name="_Toc56266940"/>
      <w:bookmarkStart w:id="98" w:name="_Toc65501051"/>
      <w:r w:rsidRPr="0030673B">
        <w:t>All of the variables have positive correlations with one another, as shown in Table 4.8 above, indicating a positively linear relationship between the variables under investigation. With the exception of the correlation between Patient's experiences of OPD services and facilities (OPD) Patient education (PE), which is significant only at the 5% confidence level, the r value between all variables is significant at the 1% confidence level. Despite the low magnitude of correlations between variables (ranging from +0.15 to +0.59), it is noteworthy that these correlations remain positive, suggesting that one variable significantly influences another at the widely recognized 99% confidence level (Degree of Confidence).</w:t>
      </w:r>
    </w:p>
    <w:p w:rsidR="00CA7918" w:rsidRPr="00CA7918" w:rsidRDefault="0030673B" w:rsidP="005E023D">
      <w:pPr>
        <w:ind w:firstLine="720"/>
        <w:rPr>
          <w:lang w:val="en-MY"/>
        </w:rPr>
      </w:pPr>
      <w:r w:rsidRPr="0030673B">
        <w:rPr>
          <w:lang w:val="en-MY"/>
        </w:rPr>
        <w:t xml:space="preserve">With the exception of </w:t>
      </w:r>
      <w:r w:rsidRPr="0030673B">
        <w:rPr>
          <w:bCs/>
          <w:lang w:val="en-MY"/>
        </w:rPr>
        <w:t>patient education</w:t>
      </w:r>
      <w:r w:rsidRPr="0030673B">
        <w:rPr>
          <w:lang w:val="en-MY"/>
        </w:rPr>
        <w:t xml:space="preserve">, which has a nearly 60% connection with </w:t>
      </w:r>
      <w:r w:rsidRPr="0030673B">
        <w:rPr>
          <w:bCs/>
          <w:lang w:val="en-MY"/>
        </w:rPr>
        <w:t>Accessibility of services</w:t>
      </w:r>
      <w:r w:rsidRPr="0030673B">
        <w:rPr>
          <w:lang w:val="en-MY"/>
        </w:rPr>
        <w:t xml:space="preserve">, the results of the correlation analysis conducted for this study show LOW correlations between all six observed </w:t>
      </w:r>
      <w:r w:rsidRPr="0030673B">
        <w:rPr>
          <w:bCs/>
          <w:lang w:val="en-MY"/>
        </w:rPr>
        <w:t>Technology Efficiency</w:t>
      </w:r>
      <w:r w:rsidRPr="0030673B">
        <w:rPr>
          <w:lang w:val="en-MY"/>
        </w:rPr>
        <w:t xml:space="preserve"> and </w:t>
      </w:r>
      <w:r w:rsidRPr="0030673B">
        <w:rPr>
          <w:bCs/>
          <w:lang w:val="en-MY"/>
        </w:rPr>
        <w:t>patient education</w:t>
      </w:r>
      <w:r w:rsidRPr="0030673B">
        <w:rPr>
          <w:lang w:val="en-MY"/>
        </w:rPr>
        <w:t>. Table 4.9 following provides a summary of the independent variables' assessed effects.</w:t>
      </w:r>
      <w:bookmarkStart w:id="99" w:name="_Toc65501049"/>
      <w:bookmarkStart w:id="100" w:name="_Toc54314732"/>
      <w:bookmarkStart w:id="101" w:name="_Toc56082769"/>
      <w:bookmarkStart w:id="102" w:name="_Toc56099352"/>
      <w:bookmarkStart w:id="103" w:name="_Toc56100700"/>
      <w:bookmarkStart w:id="104" w:name="_Toc56266938"/>
    </w:p>
    <w:p w:rsidR="0030673B" w:rsidRPr="0030673B" w:rsidRDefault="0030673B" w:rsidP="0030673B">
      <w:pPr>
        <w:rPr>
          <w:b/>
          <w:lang w:val="en-MY"/>
        </w:rPr>
      </w:pPr>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9</w:t>
      </w:r>
      <w:r w:rsidRPr="0030673B">
        <w:fldChar w:fldCharType="end"/>
      </w:r>
      <w:r w:rsidRPr="0030673B">
        <w:rPr>
          <w:b/>
          <w:lang w:val="en-MY"/>
        </w:rPr>
        <w:t xml:space="preserve">  Correlations Between Corporate Waqf Intention</w:t>
      </w:r>
      <w:bookmarkEnd w:id="99"/>
    </w:p>
    <w:p w:rsidR="0030673B" w:rsidRPr="0030673B" w:rsidRDefault="0030673B" w:rsidP="0030673B">
      <w:pPr>
        <w:rPr>
          <w:bCs/>
          <w:i/>
          <w:iCs/>
          <w:lang w:val="en-MY"/>
        </w:rPr>
      </w:pPr>
      <w:r w:rsidRPr="0030673B">
        <w:rPr>
          <w:bCs/>
          <w:i/>
          <w:iCs/>
          <w:lang w:val="en-MY"/>
        </w:rPr>
        <w:t xml:space="preserve">Correlations </w:t>
      </w:r>
      <w:bookmarkEnd w:id="100"/>
      <w:bookmarkEnd w:id="101"/>
      <w:bookmarkEnd w:id="102"/>
      <w:bookmarkEnd w:id="103"/>
      <w:bookmarkEnd w:id="1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5047"/>
        <w:gridCol w:w="1387"/>
        <w:gridCol w:w="2105"/>
      </w:tblGrid>
      <w:tr w:rsidR="0030673B" w:rsidRPr="0030673B" w:rsidTr="0030673B">
        <w:tc>
          <w:tcPr>
            <w:tcW w:w="477" w:type="dxa"/>
            <w:tcBorders>
              <w:top w:val="single" w:sz="4" w:space="0" w:color="auto"/>
              <w:left w:val="single" w:sz="4" w:space="0" w:color="auto"/>
              <w:bottom w:val="single" w:sz="4" w:space="0" w:color="auto"/>
              <w:right w:val="single" w:sz="4" w:space="0" w:color="auto"/>
            </w:tcBorders>
          </w:tcPr>
          <w:p w:rsidR="0030673B" w:rsidRPr="0030673B" w:rsidRDefault="0030673B" w:rsidP="0030673B"/>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rPr>
                <w:b/>
                <w:bCs/>
              </w:rPr>
            </w:pPr>
            <w:r w:rsidRPr="0030673B">
              <w:rPr>
                <w:b/>
                <w:bCs/>
              </w:rPr>
              <w:t>Independent Variables</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rPr>
                <w:b/>
                <w:bCs/>
              </w:rPr>
            </w:pPr>
            <w:r w:rsidRPr="0030673B">
              <w:rPr>
                <w:b/>
                <w:bCs/>
              </w:rPr>
              <w:t>r Value</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rPr>
                <w:b/>
                <w:bCs/>
              </w:rPr>
            </w:pPr>
            <w:r w:rsidRPr="0030673B">
              <w:rPr>
                <w:b/>
                <w:bCs/>
              </w:rPr>
              <w:t>Strength of Relationship</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1</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Digital health tools in patient care:</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0.153</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Small</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2</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Patient satisfaction in terms of convenience, courtesy, and quality of care</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0.590</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Large</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3</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Patient's experiences of OPD services and facilities:</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0.389</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Medium</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4</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Accessibility of services:</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0.405</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Medium</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 xml:space="preserve">5 </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Waiting times:</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0.330</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Medium</w:t>
            </w:r>
          </w:p>
        </w:tc>
      </w:tr>
      <w:tr w:rsidR="0030673B" w:rsidRPr="0030673B" w:rsidTr="0030673B">
        <w:tc>
          <w:tcPr>
            <w:tcW w:w="47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6</w:t>
            </w:r>
          </w:p>
        </w:tc>
        <w:tc>
          <w:tcPr>
            <w:tcW w:w="504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Technology Efficiency</w:t>
            </w:r>
          </w:p>
        </w:tc>
        <w:tc>
          <w:tcPr>
            <w:tcW w:w="1387"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0.208</w:t>
            </w:r>
          </w:p>
        </w:tc>
        <w:tc>
          <w:tcPr>
            <w:tcW w:w="210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r w:rsidRPr="0030673B">
              <w:t>Small</w:t>
            </w:r>
          </w:p>
        </w:tc>
      </w:tr>
    </w:tbl>
    <w:p w:rsidR="0030673B" w:rsidRPr="0030673B" w:rsidRDefault="0030673B" w:rsidP="0030673B">
      <w:r w:rsidRPr="0030673B">
        <w:t xml:space="preserve">According to Table 4.10 above, Patient satisfaction in terms of convenience, courtesy, and quality of care showed the greatest influence on Patient Education. For all other variables have little to no impact on their Patient Education (significant at the 0.01 level). </w:t>
      </w:r>
    </w:p>
    <w:p w:rsidR="0030673B" w:rsidRPr="0030673B" w:rsidRDefault="0030673B" w:rsidP="0030673B">
      <w:pPr>
        <w:rPr>
          <w:b/>
          <w:lang w:val="en-MY"/>
        </w:rPr>
      </w:pPr>
      <w:bookmarkStart w:id="105" w:name="_Toc65501050"/>
      <w:bookmarkStart w:id="106" w:name="_Toc54314733"/>
      <w:bookmarkStart w:id="107" w:name="_Toc56082770"/>
      <w:bookmarkStart w:id="108" w:name="_Toc56099353"/>
      <w:bookmarkStart w:id="109" w:name="_Toc56100701"/>
      <w:bookmarkStart w:id="110" w:name="_Toc56266939"/>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10</w:t>
      </w:r>
      <w:r w:rsidRPr="0030673B">
        <w:fldChar w:fldCharType="end"/>
      </w:r>
      <w:r w:rsidRPr="0030673B">
        <w:rPr>
          <w:b/>
          <w:lang w:val="en-MY"/>
        </w:rPr>
        <w:t xml:space="preserve">  Cohen’s Guideline of Correlation Strength</w:t>
      </w:r>
      <w:bookmarkEnd w:id="105"/>
    </w:p>
    <w:p w:rsidR="0030673B" w:rsidRPr="0030673B" w:rsidRDefault="0030673B" w:rsidP="0030673B">
      <w:pPr>
        <w:rPr>
          <w:b/>
          <w:i/>
          <w:lang w:val="en-MY"/>
        </w:rPr>
      </w:pPr>
      <w:bookmarkStart w:id="111" w:name="_Hlk65500690"/>
      <w:r w:rsidRPr="0030673B">
        <w:rPr>
          <w:bCs/>
          <w:i/>
          <w:lang w:val="en-MY"/>
        </w:rPr>
        <w:t>Cohen’s Guideline of Correlation Strength</w:t>
      </w:r>
      <w:bookmarkEnd w:id="106"/>
      <w:bookmarkEnd w:id="107"/>
      <w:bookmarkEnd w:id="108"/>
      <w:bookmarkEnd w:id="109"/>
      <w:bookmarkEnd w:id="110"/>
    </w:p>
    <w:tbl>
      <w:tblPr>
        <w:tblW w:w="0" w:type="auto"/>
        <w:tblBorders>
          <w:top w:val="single" w:sz="4" w:space="0" w:color="auto"/>
          <w:bottom w:val="single" w:sz="4" w:space="0" w:color="auto"/>
        </w:tblBorders>
        <w:tblLayout w:type="fixed"/>
        <w:tblLook w:val="04A0" w:firstRow="1" w:lastRow="0" w:firstColumn="1" w:lastColumn="0" w:noHBand="0" w:noVBand="1"/>
      </w:tblPr>
      <w:tblGrid>
        <w:gridCol w:w="4495"/>
        <w:gridCol w:w="3268"/>
      </w:tblGrid>
      <w:tr w:rsidR="0030673B" w:rsidRPr="0030673B" w:rsidTr="0030673B">
        <w:trPr>
          <w:trHeight w:val="350"/>
        </w:trPr>
        <w:tc>
          <w:tcPr>
            <w:tcW w:w="4495" w:type="dxa"/>
            <w:tcBorders>
              <w:top w:val="single" w:sz="4" w:space="0" w:color="auto"/>
              <w:left w:val="nil"/>
              <w:bottom w:val="single" w:sz="4" w:space="0" w:color="auto"/>
              <w:right w:val="nil"/>
            </w:tcBorders>
            <w:hideMark/>
          </w:tcPr>
          <w:bookmarkEnd w:id="111"/>
          <w:p w:rsidR="0030673B" w:rsidRPr="0030673B" w:rsidRDefault="0030673B" w:rsidP="0030673B">
            <w:pPr>
              <w:rPr>
                <w:lang w:val="en-US"/>
              </w:rPr>
            </w:pPr>
            <w:r w:rsidRPr="0030673B">
              <w:rPr>
                <w:b/>
                <w:bCs/>
                <w:lang w:val="en-US"/>
              </w:rPr>
              <w:t>r Values</w:t>
            </w:r>
          </w:p>
        </w:tc>
        <w:tc>
          <w:tcPr>
            <w:tcW w:w="3268" w:type="dxa"/>
            <w:tcBorders>
              <w:top w:val="single" w:sz="4" w:space="0" w:color="auto"/>
              <w:left w:val="nil"/>
              <w:bottom w:val="single" w:sz="4" w:space="0" w:color="auto"/>
              <w:right w:val="nil"/>
            </w:tcBorders>
            <w:hideMark/>
          </w:tcPr>
          <w:p w:rsidR="0030673B" w:rsidRPr="0030673B" w:rsidRDefault="0030673B" w:rsidP="0030673B">
            <w:pPr>
              <w:rPr>
                <w:lang w:val="en-US"/>
              </w:rPr>
            </w:pPr>
            <w:r w:rsidRPr="0030673B">
              <w:rPr>
                <w:b/>
                <w:bCs/>
                <w:lang w:val="en-US"/>
              </w:rPr>
              <w:t>Strength of Relationship</w:t>
            </w:r>
          </w:p>
        </w:tc>
      </w:tr>
      <w:tr w:rsidR="0030673B" w:rsidRPr="0030673B" w:rsidTr="0030673B">
        <w:tc>
          <w:tcPr>
            <w:tcW w:w="4495" w:type="dxa"/>
            <w:tcBorders>
              <w:top w:val="single" w:sz="4" w:space="0" w:color="auto"/>
              <w:left w:val="nil"/>
              <w:bottom w:val="nil"/>
              <w:right w:val="nil"/>
            </w:tcBorders>
            <w:hideMark/>
          </w:tcPr>
          <w:p w:rsidR="0030673B" w:rsidRPr="0030673B" w:rsidRDefault="0030673B" w:rsidP="0030673B">
            <w:pPr>
              <w:rPr>
                <w:lang w:val="en-US"/>
              </w:rPr>
            </w:pPr>
            <w:r w:rsidRPr="0030673B">
              <w:rPr>
                <w:lang w:val="en-US"/>
              </w:rPr>
              <w:t xml:space="preserve">r = </w:t>
            </w:r>
            <w:proofErr w:type="gramStart"/>
            <w:r w:rsidRPr="0030673B">
              <w:rPr>
                <w:lang w:val="en-US"/>
              </w:rPr>
              <w:t>+.l</w:t>
            </w:r>
            <w:proofErr w:type="gramEnd"/>
            <w:r w:rsidRPr="0030673B">
              <w:rPr>
                <w:lang w:val="en-US"/>
              </w:rPr>
              <w:t>0 to .29 or r = -0.l0 to -0.29</w:t>
            </w:r>
          </w:p>
        </w:tc>
        <w:tc>
          <w:tcPr>
            <w:tcW w:w="3268" w:type="dxa"/>
            <w:tcBorders>
              <w:top w:val="single" w:sz="4" w:space="0" w:color="auto"/>
              <w:left w:val="nil"/>
              <w:bottom w:val="nil"/>
              <w:right w:val="nil"/>
            </w:tcBorders>
            <w:hideMark/>
          </w:tcPr>
          <w:p w:rsidR="0030673B" w:rsidRPr="0030673B" w:rsidRDefault="0030673B" w:rsidP="0030673B">
            <w:pPr>
              <w:rPr>
                <w:lang w:val="en-US"/>
              </w:rPr>
            </w:pPr>
            <w:r w:rsidRPr="0030673B">
              <w:rPr>
                <w:lang w:val="en-US"/>
              </w:rPr>
              <w:t>Small</w:t>
            </w:r>
          </w:p>
        </w:tc>
      </w:tr>
      <w:tr w:rsidR="0030673B" w:rsidRPr="0030673B" w:rsidTr="0030673B">
        <w:tc>
          <w:tcPr>
            <w:tcW w:w="4495" w:type="dxa"/>
            <w:tcBorders>
              <w:top w:val="nil"/>
              <w:left w:val="nil"/>
              <w:bottom w:val="nil"/>
              <w:right w:val="nil"/>
            </w:tcBorders>
            <w:hideMark/>
          </w:tcPr>
          <w:p w:rsidR="0030673B" w:rsidRPr="0030673B" w:rsidRDefault="0030673B" w:rsidP="0030673B">
            <w:pPr>
              <w:rPr>
                <w:lang w:val="en-US"/>
              </w:rPr>
            </w:pPr>
            <w:r w:rsidRPr="0030673B">
              <w:rPr>
                <w:lang w:val="en-US"/>
              </w:rPr>
              <w:t>r = +.30 to .49 or r = -0.30 to -0.49</w:t>
            </w:r>
          </w:p>
        </w:tc>
        <w:tc>
          <w:tcPr>
            <w:tcW w:w="3268" w:type="dxa"/>
            <w:tcBorders>
              <w:top w:val="nil"/>
              <w:left w:val="nil"/>
              <w:bottom w:val="nil"/>
              <w:right w:val="nil"/>
            </w:tcBorders>
            <w:hideMark/>
          </w:tcPr>
          <w:p w:rsidR="0030673B" w:rsidRPr="0030673B" w:rsidRDefault="0030673B" w:rsidP="0030673B">
            <w:pPr>
              <w:rPr>
                <w:lang w:val="en-US"/>
              </w:rPr>
            </w:pPr>
            <w:r w:rsidRPr="0030673B">
              <w:rPr>
                <w:lang w:val="en-US"/>
              </w:rPr>
              <w:t>Medium</w:t>
            </w:r>
          </w:p>
        </w:tc>
      </w:tr>
      <w:tr w:rsidR="0030673B" w:rsidRPr="0030673B" w:rsidTr="0030673B">
        <w:tc>
          <w:tcPr>
            <w:tcW w:w="4495" w:type="dxa"/>
            <w:tcBorders>
              <w:top w:val="nil"/>
              <w:left w:val="nil"/>
              <w:bottom w:val="single" w:sz="4" w:space="0" w:color="auto"/>
              <w:right w:val="nil"/>
            </w:tcBorders>
            <w:hideMark/>
          </w:tcPr>
          <w:p w:rsidR="0030673B" w:rsidRPr="0030673B" w:rsidRDefault="0030673B" w:rsidP="0030673B">
            <w:pPr>
              <w:rPr>
                <w:lang w:val="en-US"/>
              </w:rPr>
            </w:pPr>
            <w:r w:rsidRPr="0030673B">
              <w:rPr>
                <w:lang w:val="en-US"/>
              </w:rPr>
              <w:t>r = +.50 to l.0 or r = -0.50 to -</w:t>
            </w:r>
            <w:proofErr w:type="gramStart"/>
            <w:r w:rsidRPr="0030673B">
              <w:rPr>
                <w:lang w:val="en-US"/>
              </w:rPr>
              <w:t>0.l.</w:t>
            </w:r>
            <w:proofErr w:type="gramEnd"/>
            <w:r w:rsidRPr="0030673B">
              <w:rPr>
                <w:lang w:val="en-US"/>
              </w:rPr>
              <w:t>0</w:t>
            </w:r>
          </w:p>
        </w:tc>
        <w:tc>
          <w:tcPr>
            <w:tcW w:w="3268" w:type="dxa"/>
            <w:tcBorders>
              <w:top w:val="nil"/>
              <w:left w:val="nil"/>
              <w:bottom w:val="single" w:sz="4" w:space="0" w:color="auto"/>
              <w:right w:val="nil"/>
            </w:tcBorders>
            <w:hideMark/>
          </w:tcPr>
          <w:p w:rsidR="0030673B" w:rsidRPr="0030673B" w:rsidRDefault="0030673B" w:rsidP="0030673B">
            <w:pPr>
              <w:rPr>
                <w:lang w:val="en-US"/>
              </w:rPr>
            </w:pPr>
            <w:r w:rsidRPr="0030673B">
              <w:rPr>
                <w:lang w:val="en-US"/>
              </w:rPr>
              <w:t>Large</w:t>
            </w:r>
          </w:p>
        </w:tc>
      </w:tr>
    </w:tbl>
    <w:p w:rsidR="0030673B" w:rsidRPr="0030673B" w:rsidRDefault="0030673B" w:rsidP="0030673B">
      <w:pPr>
        <w:rPr>
          <w:b/>
          <w:lang w:val="en-MY"/>
        </w:rPr>
      </w:pPr>
    </w:p>
    <w:p w:rsidR="0030673B" w:rsidRPr="0030673B" w:rsidRDefault="0030673B" w:rsidP="005E023D">
      <w:pPr>
        <w:ind w:firstLine="720"/>
      </w:pPr>
      <w:r w:rsidRPr="0030673B">
        <w:t>Despite the tiny but significant amount of the influence, the overall study shows that all independent variables have a positive impact on the dependent variable. The findings indicate that among the responding. The results of this analysis are helpful in elucidating the findings of Multiple Regression Analysis, which will be covered in the following section, even if they do not by any means provide definitive proof of influence.</w:t>
      </w:r>
    </w:p>
    <w:p w:rsidR="0030673B" w:rsidRPr="0030673B" w:rsidRDefault="0030673B" w:rsidP="0030673B">
      <w:pPr>
        <w:rPr>
          <w:bCs/>
        </w:rPr>
      </w:pPr>
      <w:bookmarkStart w:id="112" w:name="_Toc54340720"/>
      <w:bookmarkStart w:id="113" w:name="_Toc56087999"/>
      <w:bookmarkStart w:id="114" w:name="_Toc56088248"/>
      <w:bookmarkStart w:id="115" w:name="_Toc65528080"/>
      <w:r w:rsidRPr="0030673B">
        <w:rPr>
          <w:b/>
          <w:bCs/>
        </w:rPr>
        <w:t>4.7</w:t>
      </w:r>
      <w:r w:rsidRPr="0030673B">
        <w:rPr>
          <w:b/>
          <w:bCs/>
        </w:rPr>
        <w:tab/>
        <w:t>ANALYSIS OF PLS PATH MODEL</w:t>
      </w:r>
      <w:bookmarkEnd w:id="112"/>
      <w:bookmarkEnd w:id="113"/>
      <w:bookmarkEnd w:id="114"/>
      <w:bookmarkEnd w:id="115"/>
    </w:p>
    <w:p w:rsidR="0030673B" w:rsidRPr="0030673B" w:rsidRDefault="0030673B" w:rsidP="005E023D">
      <w:pPr>
        <w:ind w:firstLine="720"/>
      </w:pPr>
      <w:r w:rsidRPr="0030673B">
        <w:t xml:space="preserve">After the data screening and preliminary analysis are finished, the PLS Path Model—a component-based estimation technique that is distinct from the covariance-based structural equation </w:t>
      </w:r>
      <w:proofErr w:type="spellStart"/>
      <w:r w:rsidRPr="0030673B">
        <w:t>modeling</w:t>
      </w:r>
      <w:proofErr w:type="spellEnd"/>
      <w:r w:rsidRPr="0030673B">
        <w:t xml:space="preserve"> analysis (</w:t>
      </w:r>
      <w:proofErr w:type="spellStart"/>
      <w:r w:rsidRPr="0030673B">
        <w:t>Wold</w:t>
      </w:r>
      <w:proofErr w:type="spellEnd"/>
      <w:r w:rsidRPr="0030673B">
        <w:t xml:space="preserve">, 1982; </w:t>
      </w:r>
      <w:proofErr w:type="spellStart"/>
      <w:r w:rsidRPr="0030673B">
        <w:t>Lohmöller</w:t>
      </w:r>
      <w:proofErr w:type="spellEnd"/>
      <w:r w:rsidRPr="0030673B">
        <w:t xml:space="preserve">, 1989)—is examined. The PLS Path Model increases the amount of variance explained by fitting a composite model rather than a common factor model to the data (Henseler et al., 2014; Rigdon et al., 2017). It is important to note that, in contrast to the earlier use of PLS, there has been recent </w:t>
      </w:r>
      <w:r w:rsidRPr="0030673B">
        <w:lastRenderedPageBreak/>
        <w:t>contention that the goodness-of-fit (</w:t>
      </w:r>
      <w:proofErr w:type="spellStart"/>
      <w:r w:rsidRPr="0030673B">
        <w:t>GoF</w:t>
      </w:r>
      <w:proofErr w:type="spellEnd"/>
      <w:r w:rsidRPr="0030673B">
        <w:t xml:space="preserve">) index is inappropriate for model validation because it is ineffective at differentiating between valid and invalid models (Hair et al., 2018; Henseler &amp; </w:t>
      </w:r>
      <w:proofErr w:type="spellStart"/>
      <w:r w:rsidRPr="0030673B">
        <w:t>Sarsted</w:t>
      </w:r>
      <w:proofErr w:type="spellEnd"/>
      <w:r w:rsidRPr="0030673B">
        <w:t xml:space="preserve">, 2018). </w:t>
      </w:r>
    </w:p>
    <w:p w:rsidR="0030673B" w:rsidRPr="0030673B" w:rsidRDefault="0030673B" w:rsidP="005E023D">
      <w:pPr>
        <w:ind w:firstLine="720"/>
      </w:pPr>
      <w:r w:rsidRPr="0030673B">
        <w:t xml:space="preserve">Therefore, it is not taken into account in this analysis. A two-stage method was used to evaluate and report the analysis's findings in light of the most recent advancements in the use of PLS path </w:t>
      </w:r>
      <w:proofErr w:type="spellStart"/>
      <w:r w:rsidRPr="0030673B">
        <w:t>modeling</w:t>
      </w:r>
      <w:proofErr w:type="spellEnd"/>
      <w:r w:rsidRPr="0030673B">
        <w:t xml:space="preserve">. As shown in Figure 4.1, the two-step process consists of the evaluation of two models: (1) the outside measurement model and (2) the inner structural model (Hair et al., 2018; Hair, Ringle &amp; </w:t>
      </w:r>
      <w:proofErr w:type="spellStart"/>
      <w:r w:rsidRPr="0030673B">
        <w:t>Sarsted</w:t>
      </w:r>
      <w:proofErr w:type="spellEnd"/>
      <w:r w:rsidRPr="0030673B">
        <w:t>, 2011; Henseler, Ringle &amp; Sinkovics, 2009).</w:t>
      </w:r>
    </w:p>
    <w:p w:rsidR="0030673B" w:rsidRPr="0030673B" w:rsidRDefault="0030673B" w:rsidP="0030673B">
      <w:pPr>
        <w:rPr>
          <w:lang w:val="en-US"/>
        </w:rPr>
      </w:pPr>
      <w:r w:rsidRPr="0030673B">
        <w:rPr>
          <w:noProof/>
        </w:rPr>
        <mc:AlternateContent>
          <mc:Choice Requires="wpg">
            <w:drawing>
              <wp:anchor distT="0" distB="0" distL="0" distR="0" simplePos="0" relativeHeight="251661312" behindDoc="0" locked="0" layoutInCell="1" allowOverlap="1">
                <wp:simplePos x="0" y="0"/>
                <wp:positionH relativeFrom="column">
                  <wp:posOffset>95249</wp:posOffset>
                </wp:positionH>
                <wp:positionV relativeFrom="paragraph">
                  <wp:posOffset>61595</wp:posOffset>
                </wp:positionV>
                <wp:extent cx="5567045" cy="2695575"/>
                <wp:effectExtent l="0" t="19050" r="14605" b="28575"/>
                <wp:wrapNone/>
                <wp:docPr id="550475584" name="Group 10"/>
                <wp:cNvGraphicFramePr/>
                <a:graphic xmlns:a="http://schemas.openxmlformats.org/drawingml/2006/main">
                  <a:graphicData uri="http://schemas.microsoft.com/office/word/2010/wordprocessingGroup">
                    <wpg:wgp>
                      <wpg:cNvGrpSpPr/>
                      <wpg:grpSpPr>
                        <a:xfrm>
                          <a:off x="0" y="0"/>
                          <a:ext cx="5567045" cy="2695575"/>
                          <a:chOff x="0" y="0"/>
                          <a:chExt cx="9258" cy="4916"/>
                        </a:xfrm>
                      </wpg:grpSpPr>
                      <wps:wsp>
                        <wps:cNvPr id="921968004" name="Arrow: Chevron 921968004"/>
                        <wps:cNvSpPr/>
                        <wps:spPr>
                          <a:xfrm rot="5400000">
                            <a:off x="230" y="-229"/>
                            <a:ext cx="2720" cy="3179"/>
                          </a:xfrm>
                          <a:prstGeom prst="chevron">
                            <a:avLst>
                              <a:gd name="adj" fmla="val 25000"/>
                            </a:avLst>
                          </a:prstGeom>
                          <a:solidFill>
                            <a:srgbClr val="FFFFFF"/>
                          </a:solidFill>
                          <a:ln w="9525" cap="flat" cmpd="sng">
                            <a:solidFill>
                              <a:srgbClr val="000000"/>
                            </a:solidFill>
                            <a:prstDash val="solid"/>
                            <a:miter/>
                            <a:headEnd type="none" w="med" len="med"/>
                            <a:tailEnd type="none" w="med" len="med"/>
                          </a:ln>
                        </wps:spPr>
                        <wps:txbx>
                          <w:txbxContent>
                            <w:p w:rsidR="0030673B" w:rsidRDefault="0030673B" w:rsidP="0030673B">
                              <w:pPr>
                                <w:jc w:val="center"/>
                                <w:rPr>
                                  <w:b/>
                                  <w:szCs w:val="24"/>
                                </w:rPr>
                              </w:pPr>
                            </w:p>
                            <w:p w:rsidR="0030673B" w:rsidRDefault="0030673B" w:rsidP="0030673B">
                              <w:pPr>
                                <w:jc w:val="center"/>
                                <w:rPr>
                                  <w:rFonts w:cs="Times New Roman"/>
                                  <w:b/>
                                  <w:szCs w:val="24"/>
                                </w:rPr>
                              </w:pPr>
                              <w:r>
                                <w:rPr>
                                  <w:rFonts w:cs="Times New Roman"/>
                                  <w:b/>
                                  <w:szCs w:val="24"/>
                                </w:rPr>
                                <w:t>Evaluation of Measurement Model</w:t>
                              </w:r>
                            </w:p>
                            <w:p w:rsidR="0030673B" w:rsidRDefault="0030673B" w:rsidP="0030673B"/>
                            <w:p w:rsidR="0030673B" w:rsidRDefault="0030673B" w:rsidP="0030673B">
                              <w:pPr>
                                <w:jc w:val="center"/>
                                <w:rPr>
                                  <w:b/>
                                  <w:szCs w:val="24"/>
                                </w:rPr>
                              </w:pPr>
                            </w:p>
                            <w:p w:rsidR="0030673B" w:rsidRDefault="0030673B" w:rsidP="0030673B">
                              <w:pPr>
                                <w:jc w:val="center"/>
                                <w:rPr>
                                  <w:b/>
                                  <w:szCs w:val="24"/>
                                </w:rPr>
                              </w:pPr>
                              <w:r>
                                <w:rPr>
                                  <w:b/>
                                  <w:szCs w:val="24"/>
                                </w:rPr>
                                <w:t>Evaluation of Measurement Model</w:t>
                              </w:r>
                            </w:p>
                          </w:txbxContent>
                        </wps:txbx>
                        <wps:bodyPr vert="horz" wrap="square" lIns="91440" tIns="45720" rIns="91440" bIns="45720" anchor="t" upright="1">
                          <a:prstTxWarp prst="textNoShape">
                            <a:avLst/>
                          </a:prstTxWarp>
                          <a:noAutofit/>
                        </wps:bodyPr>
                      </wps:wsp>
                      <wps:wsp>
                        <wps:cNvPr id="495939241" name="Rectangle 495939241"/>
                        <wps:cNvSpPr/>
                        <wps:spPr>
                          <a:xfrm>
                            <a:off x="3180" y="0"/>
                            <a:ext cx="6078" cy="204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30673B" w:rsidRDefault="0030673B" w:rsidP="0030673B">
                              <w:pPr>
                                <w:autoSpaceDE w:val="0"/>
                                <w:autoSpaceDN w:val="0"/>
                                <w:adjustRightInd w:val="0"/>
                                <w:spacing w:after="0" w:line="240" w:lineRule="auto"/>
                                <w:rPr>
                                  <w:szCs w:val="24"/>
                                </w:rPr>
                              </w:pP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Indicator Reliability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Internal consistency reliability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Convergent validity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Discriminant validity</w:t>
                              </w:r>
                            </w:p>
                          </w:txbxContent>
                        </wps:txbx>
                        <wps:bodyPr vert="horz" wrap="square" lIns="91440" tIns="45720" rIns="91440" bIns="45720" anchor="t" upright="1">
                          <a:prstTxWarp prst="textNoShape">
                            <a:avLst/>
                          </a:prstTxWarp>
                          <a:noAutofit/>
                        </wps:bodyPr>
                      </wps:wsp>
                      <wps:wsp>
                        <wps:cNvPr id="1299198174" name="Arrow: Chevron 1299198174"/>
                        <wps:cNvSpPr/>
                        <wps:spPr>
                          <a:xfrm rot="5400000">
                            <a:off x="239" y="1975"/>
                            <a:ext cx="2702" cy="3180"/>
                          </a:xfrm>
                          <a:prstGeom prst="chevron">
                            <a:avLst>
                              <a:gd name="adj" fmla="val 25000"/>
                            </a:avLst>
                          </a:prstGeom>
                          <a:solidFill>
                            <a:srgbClr val="FFFFFF"/>
                          </a:solidFill>
                          <a:ln w="9525" cap="flat" cmpd="sng">
                            <a:solidFill>
                              <a:srgbClr val="000000"/>
                            </a:solidFill>
                            <a:prstDash val="solid"/>
                            <a:miter/>
                            <a:headEnd type="none" w="med" len="med"/>
                            <a:tailEnd type="none" w="med" len="med"/>
                          </a:ln>
                        </wps:spPr>
                        <wps:txbx>
                          <w:txbxContent>
                            <w:p w:rsidR="0030673B" w:rsidRDefault="0030673B" w:rsidP="0030673B">
                              <w:pPr>
                                <w:jc w:val="center"/>
                                <w:rPr>
                                  <w:b/>
                                  <w:szCs w:val="24"/>
                                </w:rPr>
                              </w:pPr>
                            </w:p>
                            <w:p w:rsidR="0030673B" w:rsidRDefault="0030673B" w:rsidP="0030673B">
                              <w:pPr>
                                <w:jc w:val="center"/>
                                <w:rPr>
                                  <w:rFonts w:cs="Times New Roman"/>
                                  <w:b/>
                                  <w:szCs w:val="24"/>
                                </w:rPr>
                              </w:pPr>
                              <w:r>
                                <w:rPr>
                                  <w:rFonts w:cs="Times New Roman"/>
                                  <w:b/>
                                  <w:szCs w:val="24"/>
                                </w:rPr>
                                <w:t>Evaluation of Structural Model</w:t>
                              </w:r>
                            </w:p>
                            <w:p w:rsidR="0030673B" w:rsidRDefault="0030673B" w:rsidP="0030673B"/>
                            <w:p w:rsidR="0030673B" w:rsidRDefault="0030673B" w:rsidP="0030673B">
                              <w:pPr>
                                <w:jc w:val="center"/>
                                <w:rPr>
                                  <w:b/>
                                  <w:szCs w:val="24"/>
                                </w:rPr>
                              </w:pPr>
                            </w:p>
                            <w:p w:rsidR="0030673B" w:rsidRDefault="0030673B" w:rsidP="0030673B">
                              <w:pPr>
                                <w:jc w:val="center"/>
                                <w:rPr>
                                  <w:b/>
                                  <w:szCs w:val="24"/>
                                </w:rPr>
                              </w:pPr>
                              <w:r>
                                <w:rPr>
                                  <w:b/>
                                  <w:szCs w:val="24"/>
                                </w:rPr>
                                <w:t>Evaluation of Structural Model</w:t>
                              </w:r>
                            </w:p>
                          </w:txbxContent>
                        </wps:txbx>
                        <wps:bodyPr vert="horz" wrap="square" lIns="91440" tIns="45720" rIns="91440" bIns="45720" anchor="t" upright="1">
                          <a:prstTxWarp prst="textNoShape">
                            <a:avLst/>
                          </a:prstTxWarp>
                          <a:noAutofit/>
                        </wps:bodyPr>
                      </wps:wsp>
                      <wps:wsp>
                        <wps:cNvPr id="1962183711" name="Rectangle 1962183711"/>
                        <wps:cNvSpPr/>
                        <wps:spPr>
                          <a:xfrm>
                            <a:off x="3167" y="2214"/>
                            <a:ext cx="6072" cy="204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valuation of the significance of path coefficients</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 xml:space="preserve">Evaluation of the level of </w:t>
                              </w:r>
                              <w:r>
                                <w:rPr>
                                  <w:rFonts w:cs="Times New Roman"/>
                                  <w:i/>
                                  <w:iCs/>
                                  <w:szCs w:val="24"/>
                                </w:rPr>
                                <w:t>R</w:t>
                              </w:r>
                              <w:r>
                                <w:rPr>
                                  <w:rFonts w:cs="Times New Roman"/>
                                  <w:szCs w:val="24"/>
                                </w:rPr>
                                <w:t>-squared values</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Determination of the effect size</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Evaluation of the predictive relevance</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Assessment of the moderating effect</w:t>
                              </w:r>
                            </w:p>
                          </w:txbxContent>
                        </wps:txbx>
                        <wps:bodyPr vert="horz" wrap="square" lIns="91440" tIns="45720" rIns="91440" bIns="45720" anchor="t" upright="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left:0;text-align:left;margin-left:7.5pt;margin-top:4.85pt;width:438.35pt;height:212.25pt;z-index:251661312;mso-wrap-distance-left:0;mso-wrap-distance-right:0" coordsize="9258,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BRmAMAAGAPAAAOAAAAZHJzL2Uyb0RvYy54bWzsV02P2zYQvRfofyB4z0qiJcsSVhsE2eyi&#10;QJEGTYqeaYn6KCiSJWnL21+fISVZdhJngxTNobAPsqghRzOP782Ity8PPUd7pk0nRYGjmxAjJkpZ&#10;daIp8B8fHl5sMDKWiopyKViBn5jBL+9+/ul2UDkjspW8YhqBE2HyQRW4tVblQWDKlvXU3EjFBBhr&#10;qXtqYaiboNJ0AO89D0gYroNB6kppWTJj4On9aMR33n9ds9L+VteGWcQLDLFZf9X+unXX4O6W5o2m&#10;qu3KKQz6HVH0tBPw0qOre2op2unuM1d9V2ppZG1vStkHsq67kvkcIJso/CSbRy13yufS5EOjjjAB&#10;tJ/g9N1uy7f7R63eq3cakBhUA1j4kcvlUOve/UOU6OAhezpCxg4WlfAwSdZpGCcYlWAj6yxJ0mQE&#10;tWwB+c/Wle2baWVGEuCGWxZn0dqtCeZXBmeBDAqoYZbszb/L/n1LFfOgmhyyf6dRVxU4I1G23oRh&#10;jJGgPRD1ldZyyNHrlu21FGixe5z80iNqJjcA4AwZ0hJolsSh+3lSTACSFTAQ8n1BSDZiNKNIUgIm&#10;h8UqSr3tiAXNlTb2kckeuZsCgzJcRN4x3f9qrKddNYVNq78wqnsOJN5TjkjiYhixnSaD59mjW2kk&#10;76qHjnM/0M32NdcIlhb4wf+mxWfTuEADQJYQt+8UVFtzauG2V4CkEY2P7WyFOXXsgZmjOpvmArun&#10;ph0D8KYRqL6zTEMaNG8Zrd6ICtknBbskoKhgF0zPKow4gxrk7vxMSzv+LTMBEC6AfY5n4z66O3vY&#10;Hqat3srqCWgCVQ7gb6X+B94IFQNS/XtHNbyf/yKAlFkUx67E+EGc+C3Vp5btqYWKElwVGHDbKd01&#10;LfiOPHAOhA+HP6lW045boMlbOfOW5n4jxz1d5jpshHy1s7LurDO6JMbIpwFoyEn8B4gpzpJslZE4&#10;msX0O9RhKhrO0GKawAUJXtCRy2hSzirajNKZCvasm3WYTjWEhPFmoupctmaWTyhqiGERzQKfk5bn&#10;/lUIF4XgS2Tk8F1YddXDFzr2LFIH09JcIpJlUbaJ0kvd5WTCs7L4SnvJfHuJsrkFzzIhaUjm9gJC&#10;Grl/QSbX9vLD2otXFbmq6tnv4AuqytYk2qzS6AttBj7mZtuzgjrrM+vUa4iQKHYbQ/NZQ9BqJg1d&#10;W81/+c3lRbH6P4rCn2rgGOcPOtOR050TT8f+U205GN99BAAA//8DAFBLAwQUAAYACAAAACEAQXvn&#10;7N8AAAAIAQAADwAAAGRycy9kb3ducmV2LnhtbEyPT0vDQBDF74LfYRnBm92kf7SN2ZRS1FMRbAXx&#10;Nk2mSWh2NmS3SfrtHU96m8d7vPm9dD3aRvXU+dqxgXgSgSLOXVFzaeDz8PqwBOUDcoGNYzJwJQ/r&#10;7PYmxaRwA39Qvw+lkhL2CRqoQmgTrX1ekUU/cS2xeCfXWQwiu1IXHQ5Sbhs9jaJHbbFm+VBhS9uK&#10;8vP+Yg28DThsZvFLvzufttfvw+L9axeTMfd34+YZVKAx/IXhF1/QIROmo7tw4VUjeiFTgoHVEyix&#10;l6tYjqOB+Ww+BZ2l+v+A7AcAAP//AwBQSwECLQAUAAYACAAAACEAtoM4kv4AAADhAQAAEwAAAAAA&#10;AAAAAAAAAAAAAAAAW0NvbnRlbnRfVHlwZXNdLnhtbFBLAQItABQABgAIAAAAIQA4/SH/1gAAAJQB&#10;AAALAAAAAAAAAAAAAAAAAC8BAABfcmVscy8ucmVsc1BLAQItABQABgAIAAAAIQC6aYBRmAMAAGAP&#10;AAAOAAAAAAAAAAAAAAAAAC4CAABkcnMvZTJvRG9jLnhtbFBLAQItABQABgAIAAAAIQBBe+fs3wAA&#10;AAgBAAAPAAAAAAAAAAAAAAAAAPIFAABkcnMvZG93bnJldi54bWxQSwUGAAAAAAQABADzAAAA/gYA&#10;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921968004" o:spid="_x0000_s1027" type="#_x0000_t55" style="position:absolute;left:230;top:-229;width:2720;height:31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B+kywAAAOIAAAAPAAAAZHJzL2Rvd25yZXYueG1sRI9BS8NA&#10;FITvQv/D8gq92d0UrWnstkglKOjF6MHjI/vMhmTfxuy2jf56VxA8DjPzDbPdT64XJxpD61lDtlQg&#10;iGtvWm40vL2WlzmIEJEN9p5JwxcF2O9mF1ssjD/zC52q2IgE4VCgBhvjUEgZaksOw9IPxMn78KPD&#10;mOTYSDPiOcFdL1dKraXDltOCxYEOluquOjoNN3lV2veHUB5k1nVP1933c/i813oxn+5uQUSa4n/4&#10;r/1oNGxW2WadK3UFv5fSHZC7HwAAAP//AwBQSwECLQAUAAYACAAAACEA2+H2y+4AAACFAQAAEwAA&#10;AAAAAAAAAAAAAAAAAAAAW0NvbnRlbnRfVHlwZXNdLnhtbFBLAQItABQABgAIAAAAIQBa9CxbvwAA&#10;ABUBAAALAAAAAAAAAAAAAAAAAB8BAABfcmVscy8ucmVsc1BLAQItABQABgAIAAAAIQAo2B+kywAA&#10;AOIAAAAPAAAAAAAAAAAAAAAAAAcCAABkcnMvZG93bnJldi54bWxQSwUGAAAAAAMAAwC3AAAA/wIA&#10;AAAA&#10;">
                  <v:textbox>
                    <w:txbxContent>
                      <w:p w:rsidR="0030673B" w:rsidRDefault="0030673B" w:rsidP="0030673B">
                        <w:pPr>
                          <w:jc w:val="center"/>
                          <w:rPr>
                            <w:b/>
                            <w:szCs w:val="24"/>
                          </w:rPr>
                        </w:pPr>
                      </w:p>
                      <w:p w:rsidR="0030673B" w:rsidRDefault="0030673B" w:rsidP="0030673B">
                        <w:pPr>
                          <w:jc w:val="center"/>
                          <w:rPr>
                            <w:rFonts w:cs="Times New Roman"/>
                            <w:b/>
                            <w:szCs w:val="24"/>
                          </w:rPr>
                        </w:pPr>
                        <w:r>
                          <w:rPr>
                            <w:rFonts w:cs="Times New Roman"/>
                            <w:b/>
                            <w:szCs w:val="24"/>
                          </w:rPr>
                          <w:t>Evaluation of Measurement Model</w:t>
                        </w:r>
                      </w:p>
                      <w:p w:rsidR="0030673B" w:rsidRDefault="0030673B" w:rsidP="0030673B"/>
                      <w:p w:rsidR="0030673B" w:rsidRDefault="0030673B" w:rsidP="0030673B">
                        <w:pPr>
                          <w:jc w:val="center"/>
                          <w:rPr>
                            <w:b/>
                            <w:szCs w:val="24"/>
                          </w:rPr>
                        </w:pPr>
                      </w:p>
                      <w:p w:rsidR="0030673B" w:rsidRDefault="0030673B" w:rsidP="0030673B">
                        <w:pPr>
                          <w:jc w:val="center"/>
                          <w:rPr>
                            <w:b/>
                            <w:szCs w:val="24"/>
                          </w:rPr>
                        </w:pPr>
                        <w:r>
                          <w:rPr>
                            <w:b/>
                            <w:szCs w:val="24"/>
                          </w:rPr>
                          <w:t>Evaluation of Measurement Model</w:t>
                        </w:r>
                      </w:p>
                    </w:txbxContent>
                  </v:textbox>
                </v:shape>
                <v:rect id="Rectangle 495939241" o:spid="_x0000_s1028" style="position:absolute;left:3180;width:6078;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k2QygAAAOIAAAAPAAAAZHJzL2Rvd25yZXYueG1sRI9Ba8JA&#10;FITvBf/D8gRvdWO0pUldRRTFHjVevD2zr0na7NuQXTX667sFweMwM98w03lnanGh1lWWFYyGEQji&#10;3OqKCwWHbP36AcJ5ZI21ZVJwIwfzWe9liqm2V97RZe8LESDsUlRQet+kUrq8JINuaBvi4H3b1qAP&#10;si2kbvEa4KaWcRS9S4MVh4USG1qWlP/uz0bBqYoPeN9lm8gk67H/6rKf83Gl1KDfLT5BeOr8M/xo&#10;b7WCSfKWjJN4MoL/S+EOyNkfAAAA//8DAFBLAQItABQABgAIAAAAIQDb4fbL7gAAAIUBAAATAAAA&#10;AAAAAAAAAAAAAAAAAABbQ29udGVudF9UeXBlc10ueG1sUEsBAi0AFAAGAAgAAAAhAFr0LFu/AAAA&#10;FQEAAAsAAAAAAAAAAAAAAAAAHwEAAF9yZWxzLy5yZWxzUEsBAi0AFAAGAAgAAAAhALoWTZDKAAAA&#10;4gAAAA8AAAAAAAAAAAAAAAAABwIAAGRycy9kb3ducmV2LnhtbFBLBQYAAAAAAwADALcAAAD+AgAA&#10;AAA=&#10;">
                  <v:textbox>
                    <w:txbxContent>
                      <w:p w:rsidR="0030673B" w:rsidRDefault="0030673B" w:rsidP="0030673B">
                        <w:pPr>
                          <w:autoSpaceDE w:val="0"/>
                          <w:autoSpaceDN w:val="0"/>
                          <w:adjustRightInd w:val="0"/>
                          <w:spacing w:after="0" w:line="240" w:lineRule="auto"/>
                          <w:rPr>
                            <w:szCs w:val="24"/>
                          </w:rPr>
                        </w:pP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Indicator Reliability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Internal consistency reliability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Convergent validity</w:t>
                        </w:r>
                      </w:p>
                      <w:p w:rsidR="0030673B" w:rsidRDefault="0030673B" w:rsidP="0030673B">
                        <w:pPr>
                          <w:numPr>
                            <w:ilvl w:val="0"/>
                            <w:numId w:val="13"/>
                          </w:numPr>
                          <w:autoSpaceDE w:val="0"/>
                          <w:autoSpaceDN w:val="0"/>
                          <w:adjustRightInd w:val="0"/>
                          <w:spacing w:after="0" w:line="240" w:lineRule="auto"/>
                          <w:jc w:val="left"/>
                          <w:rPr>
                            <w:rFonts w:cs="Times New Roman"/>
                            <w:szCs w:val="24"/>
                          </w:rPr>
                        </w:pPr>
                        <w:r>
                          <w:rPr>
                            <w:rFonts w:cs="Times New Roman"/>
                            <w:szCs w:val="24"/>
                          </w:rPr>
                          <w:t>Discriminant validity</w:t>
                        </w:r>
                      </w:p>
                    </w:txbxContent>
                  </v:textbox>
                </v:rect>
                <v:shape id="Arrow: Chevron 1299198174" o:spid="_x0000_s1029" type="#_x0000_t55" style="position:absolute;left:239;top:1975;width:2702;height:3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Mn5yQAAAOMAAAAPAAAAZHJzL2Rvd25yZXYueG1sRE/NSsNA&#10;EL4LfYdlCt7sJkVtknZbSiUo6MXoweOQnWZDsrNpdm2jT+8Kgsf5/mezm2wvzjT61rGCdJGAIK6d&#10;brlR8P5W3mQgfEDW2DsmBV/kYbedXW2w0O7Cr3SuQiNiCPsCFZgQhkJKXxuy6BduII7c0Y0WQzzH&#10;RuoRLzHc9nKZJPfSYsuxweBAB0N1V31aBausKs3Hoy8PMu2657vu+8WfHpS6nk/7NYhAU/gX/7mf&#10;dJy/zPM0z9LVLfz+FAGQ2x8AAAD//wMAUEsBAi0AFAAGAAgAAAAhANvh9svuAAAAhQEAABMAAAAA&#10;AAAAAAAAAAAAAAAAAFtDb250ZW50X1R5cGVzXS54bWxQSwECLQAUAAYACAAAACEAWvQsW78AAAAV&#10;AQAACwAAAAAAAAAAAAAAAAAfAQAAX3JlbHMvLnJlbHNQSwECLQAUAAYACAAAACEA+KzJ+ckAAADj&#10;AAAADwAAAAAAAAAAAAAAAAAHAgAAZHJzL2Rvd25yZXYueG1sUEsFBgAAAAADAAMAtwAAAP0CAAAA&#10;AA==&#10;">
                  <v:textbox>
                    <w:txbxContent>
                      <w:p w:rsidR="0030673B" w:rsidRDefault="0030673B" w:rsidP="0030673B">
                        <w:pPr>
                          <w:jc w:val="center"/>
                          <w:rPr>
                            <w:b/>
                            <w:szCs w:val="24"/>
                          </w:rPr>
                        </w:pPr>
                      </w:p>
                      <w:p w:rsidR="0030673B" w:rsidRDefault="0030673B" w:rsidP="0030673B">
                        <w:pPr>
                          <w:jc w:val="center"/>
                          <w:rPr>
                            <w:rFonts w:cs="Times New Roman"/>
                            <w:b/>
                            <w:szCs w:val="24"/>
                          </w:rPr>
                        </w:pPr>
                        <w:r>
                          <w:rPr>
                            <w:rFonts w:cs="Times New Roman"/>
                            <w:b/>
                            <w:szCs w:val="24"/>
                          </w:rPr>
                          <w:t>Evaluation of Structural Model</w:t>
                        </w:r>
                      </w:p>
                      <w:p w:rsidR="0030673B" w:rsidRDefault="0030673B" w:rsidP="0030673B"/>
                      <w:p w:rsidR="0030673B" w:rsidRDefault="0030673B" w:rsidP="0030673B">
                        <w:pPr>
                          <w:jc w:val="center"/>
                          <w:rPr>
                            <w:b/>
                            <w:szCs w:val="24"/>
                          </w:rPr>
                        </w:pPr>
                      </w:p>
                      <w:p w:rsidR="0030673B" w:rsidRDefault="0030673B" w:rsidP="0030673B">
                        <w:pPr>
                          <w:jc w:val="center"/>
                          <w:rPr>
                            <w:b/>
                            <w:szCs w:val="24"/>
                          </w:rPr>
                        </w:pPr>
                        <w:r>
                          <w:rPr>
                            <w:b/>
                            <w:szCs w:val="24"/>
                          </w:rPr>
                          <w:t>Evaluation of Structural Model</w:t>
                        </w:r>
                      </w:p>
                    </w:txbxContent>
                  </v:textbox>
                </v:shape>
                <v:rect id="Rectangle 1962183711" o:spid="_x0000_s1030" style="position:absolute;left:3167;top:2214;width:6072;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tZexwAAAOMAAAAPAAAAZHJzL2Rvd25yZXYueG1sRE/NasJA&#10;EL4XfIdlhN7qJhGsRlcRi0WPGi/exuyYRLOzIbtq6tO7hUKP8/3PbNGZWtypdZVlBfEgAkGcW11x&#10;oeCQrT/GIJxH1lhbJgU/5GAx773NMNX2wTu6730hQgi7FBWU3jeplC4vyaAb2IY4cGfbGvThbAup&#10;W3yEcFPLJIpG0mDFoaHEhlYl5df9zSg4VckBn7vsOzKT9dBvu+xyO34p9d7vllMQnjr/L/5zb3SY&#10;Pxkl8Xj4Gcfw+1MAQM5fAAAA//8DAFBLAQItABQABgAIAAAAIQDb4fbL7gAAAIUBAAATAAAAAAAA&#10;AAAAAAAAAAAAAABbQ29udGVudF9UeXBlc10ueG1sUEsBAi0AFAAGAAgAAAAhAFr0LFu/AAAAFQEA&#10;AAsAAAAAAAAAAAAAAAAAHwEAAF9yZWxzLy5yZWxzUEsBAi0AFAAGAAgAAAAhAN9O1l7HAAAA4wAA&#10;AA8AAAAAAAAAAAAAAAAABwIAAGRycy9kb3ducmV2LnhtbFBLBQYAAAAAAwADALcAAAD7AgAAAAA=&#10;">
                  <v:textbox>
                    <w:txbxContent>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valuation of the significance of path coefficients</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 xml:space="preserve">Evaluation of the level of </w:t>
                        </w:r>
                        <w:r>
                          <w:rPr>
                            <w:rFonts w:cs="Times New Roman"/>
                            <w:i/>
                            <w:iCs/>
                            <w:szCs w:val="24"/>
                          </w:rPr>
                          <w:t>R</w:t>
                        </w:r>
                        <w:r>
                          <w:rPr>
                            <w:rFonts w:cs="Times New Roman"/>
                            <w:szCs w:val="24"/>
                          </w:rPr>
                          <w:t>-squared values</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Determination of the effect size</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Evaluation of the predictive relevance</w:t>
                        </w:r>
                      </w:p>
                      <w:p w:rsidR="0030673B" w:rsidRDefault="0030673B" w:rsidP="0030673B">
                        <w:pPr>
                          <w:numPr>
                            <w:ilvl w:val="0"/>
                            <w:numId w:val="14"/>
                          </w:numPr>
                          <w:autoSpaceDE w:val="0"/>
                          <w:autoSpaceDN w:val="0"/>
                          <w:adjustRightInd w:val="0"/>
                          <w:spacing w:after="0" w:line="240" w:lineRule="auto"/>
                          <w:jc w:val="left"/>
                          <w:rPr>
                            <w:rFonts w:cs="Times New Roman"/>
                            <w:szCs w:val="24"/>
                          </w:rPr>
                        </w:pPr>
                        <w:r>
                          <w:rPr>
                            <w:rFonts w:cs="Times New Roman"/>
                            <w:szCs w:val="24"/>
                          </w:rPr>
                          <w:t>Assessment of the moderating effect</w:t>
                        </w:r>
                      </w:p>
                    </w:txbxContent>
                  </v:textbox>
                </v:rect>
              </v:group>
            </w:pict>
          </mc:Fallback>
        </mc:AlternateContent>
      </w:r>
    </w:p>
    <w:p w:rsidR="0030673B" w:rsidRPr="0030673B" w:rsidRDefault="0030673B" w:rsidP="0030673B">
      <w:pPr>
        <w:rPr>
          <w:b/>
          <w:i/>
          <w:iCs/>
          <w:lang w:val="en-MY"/>
        </w:rPr>
      </w:pPr>
      <w:r w:rsidRPr="0030673B">
        <w:rPr>
          <w:bCs/>
          <w:lang w:val="en-MY"/>
        </w:rPr>
        <w:tab/>
      </w:r>
    </w:p>
    <w:p w:rsidR="005E023D" w:rsidRDefault="005E023D" w:rsidP="0030673B">
      <w:pPr>
        <w:rPr>
          <w:b/>
          <w:i/>
          <w:iCs/>
          <w:lang w:val="en-MY"/>
        </w:rPr>
      </w:pPr>
      <w:bookmarkStart w:id="116" w:name="_Toc505768993"/>
      <w:bookmarkStart w:id="117" w:name="_Toc54299889"/>
      <w:bookmarkStart w:id="118" w:name="_Toc54304102"/>
      <w:bookmarkStart w:id="119" w:name="_Toc56083165"/>
      <w:bookmarkStart w:id="120" w:name="_Toc56083442"/>
      <w:bookmarkStart w:id="121" w:name="_Toc56085148"/>
      <w:bookmarkStart w:id="122" w:name="_Toc56100955"/>
      <w:bookmarkStart w:id="123" w:name="_Toc56267160"/>
      <w:bookmarkStart w:id="124" w:name="_Toc65501444"/>
      <w:bookmarkStart w:id="125" w:name="_Toc65501662"/>
    </w:p>
    <w:p w:rsidR="005E023D" w:rsidRDefault="005E023D" w:rsidP="0030673B">
      <w:pPr>
        <w:rPr>
          <w:b/>
          <w:i/>
          <w:iCs/>
          <w:lang w:val="en-MY"/>
        </w:rPr>
      </w:pPr>
    </w:p>
    <w:p w:rsidR="005E023D" w:rsidRDefault="005E023D" w:rsidP="0030673B">
      <w:pPr>
        <w:rPr>
          <w:b/>
          <w:i/>
          <w:iCs/>
          <w:lang w:val="en-MY"/>
        </w:rPr>
      </w:pPr>
    </w:p>
    <w:p w:rsidR="005E023D" w:rsidRDefault="005E023D" w:rsidP="0030673B">
      <w:pPr>
        <w:rPr>
          <w:b/>
          <w:i/>
          <w:iCs/>
          <w:lang w:val="en-MY"/>
        </w:rPr>
      </w:pPr>
    </w:p>
    <w:p w:rsidR="005E023D" w:rsidRDefault="005E023D" w:rsidP="0030673B">
      <w:pPr>
        <w:rPr>
          <w:b/>
          <w:i/>
          <w:iCs/>
          <w:lang w:val="en-MY"/>
        </w:rPr>
      </w:pPr>
    </w:p>
    <w:p w:rsidR="005E023D" w:rsidRDefault="005E023D" w:rsidP="0030673B">
      <w:pPr>
        <w:rPr>
          <w:b/>
          <w:i/>
          <w:iCs/>
          <w:lang w:val="en-MY"/>
        </w:rPr>
      </w:pPr>
    </w:p>
    <w:p w:rsidR="0030673B" w:rsidRPr="0030673B" w:rsidRDefault="0030673B" w:rsidP="0030673B">
      <w:pPr>
        <w:rPr>
          <w:bCs/>
          <w:lang w:val="en-MY"/>
        </w:rPr>
      </w:pPr>
      <w:r w:rsidRPr="0030673B">
        <w:rPr>
          <w:b/>
          <w:i/>
          <w:iCs/>
          <w:lang w:val="en-MY"/>
        </w:rPr>
        <w:t xml:space="preserve">Figure 4. </w:t>
      </w:r>
      <w:r w:rsidRPr="0030673B">
        <w:rPr>
          <w:bCs/>
          <w:lang w:val="en-MY"/>
        </w:rPr>
        <w:fldChar w:fldCharType="begin"/>
      </w:r>
      <w:r w:rsidRPr="0030673B">
        <w:rPr>
          <w:b/>
          <w:i/>
          <w:iCs/>
          <w:lang w:val="en-MY"/>
        </w:rPr>
        <w:instrText xml:space="preserve"> SEQ Figure_4. \* ARABIC </w:instrText>
      </w:r>
      <w:r w:rsidRPr="0030673B">
        <w:rPr>
          <w:bCs/>
          <w:lang w:val="en-MY"/>
        </w:rPr>
        <w:fldChar w:fldCharType="separate"/>
      </w:r>
      <w:r w:rsidRPr="0030673B">
        <w:rPr>
          <w:b/>
          <w:i/>
          <w:iCs/>
          <w:lang w:val="en-MY"/>
        </w:rPr>
        <w:t>1</w:t>
      </w:r>
      <w:r w:rsidRPr="0030673B">
        <w:fldChar w:fldCharType="end"/>
      </w:r>
      <w:bookmarkEnd w:id="116"/>
      <w:r w:rsidRPr="0030673B">
        <w:rPr>
          <w:bCs/>
          <w:lang w:val="en-MY"/>
        </w:rPr>
        <w:t>: Two-Step Process of PLS Path Model Evaluation</w:t>
      </w:r>
      <w:bookmarkEnd w:id="117"/>
      <w:bookmarkEnd w:id="118"/>
      <w:bookmarkEnd w:id="119"/>
      <w:bookmarkEnd w:id="120"/>
      <w:bookmarkEnd w:id="121"/>
      <w:bookmarkEnd w:id="122"/>
      <w:bookmarkEnd w:id="123"/>
      <w:r w:rsidRPr="0030673B">
        <w:rPr>
          <w:bCs/>
          <w:lang w:val="en-MY"/>
        </w:rPr>
        <w:t xml:space="preserve"> (Henseler et al., 2009)</w:t>
      </w:r>
      <w:bookmarkEnd w:id="124"/>
      <w:bookmarkEnd w:id="125"/>
    </w:p>
    <w:p w:rsidR="0030673B" w:rsidRPr="0030673B" w:rsidRDefault="0030673B" w:rsidP="0030673B"/>
    <w:p w:rsidR="0030673B" w:rsidRPr="0030673B" w:rsidRDefault="0030673B" w:rsidP="0030673B">
      <w:pPr>
        <w:rPr>
          <w:bCs/>
          <w:i/>
          <w:iCs/>
        </w:rPr>
      </w:pPr>
      <w:bookmarkStart w:id="126" w:name="_Toc505881958"/>
      <w:bookmarkStart w:id="127" w:name="_Toc54340721"/>
      <w:bookmarkStart w:id="128" w:name="_Toc56088000"/>
      <w:bookmarkStart w:id="129" w:name="_Toc56088249"/>
      <w:bookmarkStart w:id="130" w:name="_Toc65528081"/>
      <w:r w:rsidRPr="0030673B">
        <w:rPr>
          <w:b/>
          <w:bCs/>
          <w:i/>
          <w:iCs/>
        </w:rPr>
        <w:t>4.7.1</w:t>
      </w:r>
      <w:r w:rsidRPr="0030673B">
        <w:rPr>
          <w:b/>
          <w:bCs/>
          <w:i/>
          <w:iCs/>
        </w:rPr>
        <w:tab/>
        <w:t>Evaluation of The Model Quality for PLS-S</w:t>
      </w:r>
      <w:bookmarkEnd w:id="126"/>
      <w:bookmarkEnd w:id="127"/>
      <w:r w:rsidRPr="0030673B">
        <w:rPr>
          <w:b/>
          <w:bCs/>
          <w:i/>
          <w:iCs/>
        </w:rPr>
        <w:t>EM</w:t>
      </w:r>
      <w:bookmarkEnd w:id="128"/>
      <w:bookmarkEnd w:id="129"/>
      <w:bookmarkEnd w:id="130"/>
    </w:p>
    <w:p w:rsidR="0030673B" w:rsidRPr="0030673B" w:rsidRDefault="0030673B" w:rsidP="005E023D">
      <w:pPr>
        <w:ind w:firstLine="720"/>
      </w:pPr>
      <w:r w:rsidRPr="0030673B">
        <w:t xml:space="preserve">In the field of marketing and management science, the software program Smart PLS Version 3.0 (Ringle et al., 2007) is widely used and accepted (Henseler et al., 2009). Smart PLS was selected for this study's investigation for a number of reasons. When a study focuses on prediction, as this one, PLS-SEM is especially flexible in predicting how SMEs will behave in relation to corporate waqf intention when influenced by waqf blockchain technology. The variance of important target components by various explanatory constructs is likewise described by PLS-SEM. However, the available data is non-normal, which makes it impossible to meet other software assumptions like CB-SEM application. Therefore, the relatively small sample size of 520 in this study is considered to be sufficiently suitable to be </w:t>
      </w:r>
      <w:proofErr w:type="spellStart"/>
      <w:r w:rsidRPr="0030673B">
        <w:t>analyzed</w:t>
      </w:r>
      <w:proofErr w:type="spellEnd"/>
      <w:r w:rsidRPr="0030673B">
        <w:t xml:space="preserve"> using PLS-SEM because the sample size is measurable (Hair et al., 2011; Hair et al., 2019; Henseler et al., 2009; Reinartz et al., 2009). PLS-SEM can be used to address the issue of data quality and theoretical unreasonable expectations because social science research investigations are typically characterized by small sample sizes (Sutton and </w:t>
      </w:r>
      <w:proofErr w:type="spellStart"/>
      <w:r w:rsidRPr="0030673B">
        <w:t>Staw</w:t>
      </w:r>
      <w:proofErr w:type="spellEnd"/>
      <w:r w:rsidRPr="0030673B">
        <w:t>, 1995).</w:t>
      </w:r>
    </w:p>
    <w:p w:rsidR="0030673B" w:rsidRPr="0030673B" w:rsidRDefault="0030673B" w:rsidP="005E023D">
      <w:pPr>
        <w:ind w:firstLine="720"/>
      </w:pPr>
      <w:r w:rsidRPr="0030673B">
        <w:t xml:space="preserve">Additionally, because </w:t>
      </w:r>
      <w:proofErr w:type="spellStart"/>
      <w:r w:rsidRPr="0030673B">
        <w:t>SmartPLS</w:t>
      </w:r>
      <w:proofErr w:type="spellEnd"/>
      <w:r w:rsidRPr="0030673B">
        <w:t xml:space="preserve"> Software has more convenient commands and multiple primary data analysis possibilities, it is appropriate for this research because it is used to examine quantitative data (Asri, </w:t>
      </w:r>
      <w:r w:rsidRPr="0030673B">
        <w:lastRenderedPageBreak/>
        <w:t>2015). Furthermore, PLS-SEM provides the most effective model for graphics and a number of new applications (Nardi, 2015). Because it provides the flexibility required for the interaction between theory and data, PLS-SEM is appropriate for exploratory research or new hybrid theory testing using primary data, like this study (</w:t>
      </w:r>
      <w:proofErr w:type="spellStart"/>
      <w:r w:rsidRPr="0030673B">
        <w:t>Nitzl</w:t>
      </w:r>
      <w:proofErr w:type="spellEnd"/>
      <w:r w:rsidRPr="0030673B">
        <w:t xml:space="preserve">, 2016). </w:t>
      </w:r>
    </w:p>
    <w:p w:rsidR="0030673B" w:rsidRPr="0030673B" w:rsidRDefault="0030673B" w:rsidP="005E023D">
      <w:pPr>
        <w:ind w:firstLine="720"/>
      </w:pPr>
      <w:r w:rsidRPr="0030673B">
        <w:t xml:space="preserve">Two steps are typically included in the analysis and interpretation of a PLS model (Hair et al., 2011; Valerie, 2019). The measurement model, also known as the outer model, is put to the test in the first phase to confirm its reliability and validity. The properties of measurement of multi-item constructs are investigated. These include employing confirmatory factor analysis (CFA) to examine reliability, discriminant validity, and convergent validity. The second stage involves analysing the structural model. At this point, the study hypotheses are tested using bootstrapping to evaluate R square, effect magnitude, predictive significance of the model, and route coefficient. These two phases are clearly shown in Figure 4.2. </w:t>
      </w:r>
    </w:p>
    <w:p w:rsidR="0030673B" w:rsidRPr="0030673B" w:rsidRDefault="0030673B" w:rsidP="005E023D">
      <w:pPr>
        <w:ind w:firstLine="720"/>
      </w:pPr>
      <w:r w:rsidRPr="0030673B">
        <w:t>The current study's initial model comprised 41 reflective items of measurement that included manifest or indicator variables for seven latent variables. These comprise one dependent variable, five independent variables, and one moderator variable, which together form six associations based on the assumptions put out in this study.</w:t>
      </w:r>
    </w:p>
    <w:p w:rsidR="0030673B" w:rsidRPr="0030673B" w:rsidRDefault="0030673B" w:rsidP="0030673B">
      <w:pPr>
        <w:rPr>
          <w:bCs/>
        </w:rPr>
      </w:pPr>
      <w:bookmarkStart w:id="131" w:name="_Toc65528082"/>
      <w:r w:rsidRPr="0030673B">
        <w:rPr>
          <w:b/>
          <w:bCs/>
        </w:rPr>
        <w:t>4.8</w:t>
      </w:r>
      <w:r w:rsidRPr="0030673B">
        <w:rPr>
          <w:b/>
          <w:bCs/>
        </w:rPr>
        <w:tab/>
        <w:t>PLS-SEM MEASUREMENT MODEL</w:t>
      </w:r>
      <w:bookmarkEnd w:id="131"/>
      <w:r w:rsidRPr="0030673B">
        <w:rPr>
          <w:b/>
          <w:bCs/>
        </w:rPr>
        <w:t xml:space="preserve"> </w:t>
      </w:r>
    </w:p>
    <w:p w:rsidR="0030673B" w:rsidRPr="00965610" w:rsidRDefault="00965610" w:rsidP="00965610">
      <w:pPr>
        <w:ind w:firstLine="720"/>
        <w:rPr>
          <w:lang w:val="en-US"/>
        </w:rPr>
      </w:pPr>
      <w:r w:rsidRPr="00965610">
        <w:rPr>
          <w:lang w:val="en-US"/>
        </w:rPr>
        <w:t xml:space="preserve">Hair et al. (2011) state that PLS-SEM outlined four procedures for evaluating the measurement models. Average Variance Extracted (AVE) of.50 and above is used to assess convergent validity; ¬¬indicator loadings of.70 are used to assess indicator reliability; composite reliability of.70 and above is used to assess internal consistency reliability; and the square root of AVE of each latent construct is greater than its correlation with any other construct in the PLS-SEM model used in a study to assess discriminant validity. </w:t>
      </w:r>
      <w:r w:rsidR="0030673B" w:rsidRPr="0030673B">
        <w:t xml:space="preserve">It is evident that the final two stages are related to validity, whereas the first two are focused on reliability. According to Sekaran and Bougie (2010), reliability is the ability of a measuring device to measure any concept consistently. Sekaran and Bougie (2010), on the other hand, have defined validity as a test of how well a recognized instrument captures a certain notion that it is intended to capture. </w:t>
      </w:r>
    </w:p>
    <w:p w:rsidR="0030673B" w:rsidRPr="0030673B" w:rsidRDefault="0030673B" w:rsidP="00965610">
      <w:pPr>
        <w:ind w:firstLine="720"/>
      </w:pPr>
      <w:r w:rsidRPr="0030673B">
        <w:t>Most researchers would refer to Hair et al., (2011) and Gotz et al., (2010) rules when checking on the reflective measuring items. On the other hand, discriminant validity will examine how far the chosen construct varies from the other constructs, while the convergent validity examines the extent to which the correlations of the selected construct deviate from the other measures of the same construct (Hair et al., 2018). The subsequent sections discuss the results from the validity and reliability of the constructs as applied on the criteria of measurement.</w:t>
      </w:r>
    </w:p>
    <w:p w:rsidR="0030673B" w:rsidRPr="0030673B" w:rsidRDefault="0030673B" w:rsidP="0030673B">
      <w:pPr>
        <w:rPr>
          <w:bCs/>
          <w:i/>
          <w:iCs/>
        </w:rPr>
      </w:pPr>
      <w:bookmarkStart w:id="132" w:name="_Toc65528083"/>
      <w:r w:rsidRPr="0030673B">
        <w:rPr>
          <w:b/>
          <w:bCs/>
          <w:i/>
          <w:iCs/>
        </w:rPr>
        <w:t xml:space="preserve">4.8.1 </w:t>
      </w:r>
      <w:r w:rsidRPr="0030673B">
        <w:rPr>
          <w:b/>
          <w:bCs/>
          <w:i/>
          <w:iCs/>
        </w:rPr>
        <w:tab/>
        <w:t>Indicator Loadings and Construct Validity</w:t>
      </w:r>
      <w:bookmarkEnd w:id="132"/>
      <w:r w:rsidRPr="0030673B">
        <w:rPr>
          <w:b/>
          <w:bCs/>
          <w:i/>
          <w:iCs/>
        </w:rPr>
        <w:t xml:space="preserve"> </w:t>
      </w:r>
    </w:p>
    <w:p w:rsidR="0030673B" w:rsidRPr="0030673B" w:rsidRDefault="0030673B" w:rsidP="00965610">
      <w:pPr>
        <w:ind w:firstLine="720"/>
      </w:pPr>
      <w:proofErr w:type="spellStart"/>
      <w:r w:rsidRPr="0030673B">
        <w:t>Sectically</w:t>
      </w:r>
      <w:proofErr w:type="spellEnd"/>
      <w:r w:rsidRPr="0030673B">
        <w:t xml:space="preserve">, construct validity according to Sekaran and Bougie (2010), is the degree to which using the measure leaves positive outcome regarding the theories on which the measure was developed. The instrument </w:t>
      </w:r>
      <w:r w:rsidRPr="0030673B">
        <w:lastRenderedPageBreak/>
        <w:t xml:space="preserve">should be able to capture the construct as posited by Ramayah et al. </w:t>
      </w:r>
      <w:proofErr w:type="gramStart"/>
      <w:r w:rsidRPr="0030673B">
        <w:t>( 2009</w:t>
      </w:r>
      <w:proofErr w:type="gramEnd"/>
      <w:r w:rsidRPr="0030673B">
        <w:t xml:space="preserve">). This can be obtained by the use of loadings with a view to validating the convergent and discriminant validity as well as cross-loadings with respect to them. Furthermore, Hair et al. (2011) insisted that for inter-construct mobility, component loadings, or the so-called indicator loadings, must be above .70... </w:t>
      </w:r>
    </w:p>
    <w:p w:rsidR="0030673B" w:rsidRPr="0030673B" w:rsidRDefault="0030673B" w:rsidP="00965610">
      <w:pPr>
        <w:ind w:firstLine="720"/>
      </w:pPr>
      <w:r w:rsidRPr="0030673B">
        <w:t>According to Fernandes (2019), researchers frequently apply the informal rule, which stipulates that the loadings or correlation coefficient must be higher than.70. The author claims that this indicates that the measure of the construct and the variance in shared constructs are greater than the variance's error. Accordingly, the author said that the corresponding construct accounts for over half of the variance within the observed variable. The author went on to say that a correlation below.70 necessitates careful interpretation of the results because low correlation can be the result of poorly constructed (low reliability) or inappropriate (low content validity) items, or poor item transfer from one context to another.</w:t>
      </w:r>
    </w:p>
    <w:p w:rsidR="0030673B" w:rsidRPr="0030673B" w:rsidRDefault="0030673B" w:rsidP="00965610">
      <w:pPr>
        <w:ind w:firstLine="720"/>
        <w:rPr>
          <w:lang w:val="en-US"/>
        </w:rPr>
      </w:pPr>
      <w:r w:rsidRPr="0030673B">
        <w:t xml:space="preserve">This study has adopted a cut-off value for factor loadings at.70 and above to be deemed significant in response to the following suggestions. As a result, four loadings were eliminated since they were less </w:t>
      </w:r>
      <w:proofErr w:type="gramStart"/>
      <w:r w:rsidRPr="0030673B">
        <w:t>than.70..</w:t>
      </w:r>
      <w:proofErr w:type="gramEnd"/>
      <w:r w:rsidRPr="0030673B">
        <w:t xml:space="preserve"> Before they were removed, they were visible in Figure 4.2. Following deletion, every item that remained that assessed a particular construct had a heavy burden on it. Thus, the construct's validity was confirmed. Refer to Figure 4.3.</w:t>
      </w:r>
    </w:p>
    <w:p w:rsidR="0030673B" w:rsidRPr="0030673B" w:rsidRDefault="0030673B" w:rsidP="0030673B">
      <w:pPr>
        <w:rPr>
          <w:bCs/>
          <w:i/>
          <w:iCs/>
        </w:rPr>
      </w:pPr>
      <w:bookmarkStart w:id="133" w:name="_Toc65528084"/>
    </w:p>
    <w:p w:rsidR="0030673B" w:rsidRPr="0030673B" w:rsidRDefault="0030673B" w:rsidP="0030673B">
      <w:pPr>
        <w:rPr>
          <w:bCs/>
          <w:i/>
          <w:iCs/>
        </w:rPr>
      </w:pPr>
      <w:r w:rsidRPr="0030673B">
        <w:rPr>
          <w:b/>
          <w:bCs/>
          <w:i/>
          <w:iCs/>
        </w:rPr>
        <w:t>4.8.2</w:t>
      </w:r>
      <w:r w:rsidRPr="0030673B">
        <w:rPr>
          <w:b/>
          <w:bCs/>
          <w:i/>
          <w:iCs/>
        </w:rPr>
        <w:tab/>
        <w:t>Internal Consistency Reliability and Convergent Validity</w:t>
      </w:r>
      <w:bookmarkEnd w:id="133"/>
    </w:p>
    <w:p w:rsidR="00965610" w:rsidRDefault="00965610" w:rsidP="00965610">
      <w:pPr>
        <w:ind w:firstLine="720"/>
      </w:pPr>
      <w:r w:rsidRPr="00965610">
        <w:t xml:space="preserve">According to Sekaran &amp; Bougie (2010), internal consistency reliability assesses whether an item in an instrument that is a component of a certain construct measures what it is intended to measure. The two main statistics used to evaluate internal consistency dependability are Cronbach's alpha and composite reliability. However, composite reliability is believed to be more effective when evaluating internal consistency reliability, especially for PLS-SEM users (Hair et al., 2018). As a result, the current study uses composite reliability (CR) with threshold values of 0.60 and above (Hair et al., 2011; Valerie, 2019). </w:t>
      </w:r>
    </w:p>
    <w:p w:rsidR="0030673B" w:rsidRPr="0030673B" w:rsidRDefault="0030673B" w:rsidP="00965610">
      <w:pPr>
        <w:ind w:firstLine="720"/>
      </w:pPr>
      <w:r w:rsidRPr="0030673B">
        <w:t xml:space="preserve">According to Ramayah et al. (2009), convergent validity is the extent to which numerous items measure the same idea and all of them agree. Convergent validity is predicated on the correlation between responses gathered using various techniques for measuring a certain construct, according to the theory of classical tests (Peter, 1981). When evaluating convergence validity, AVE should be applied, as recommended by Hair et al. (2010). For the use of the construct to be justified, the variance captured by the indicators relating to error of measurement must be greater than 0.50, as determined by AVE (Hair et al., 2011; Valerie, 2019). </w:t>
      </w:r>
    </w:p>
    <w:p w:rsidR="0030673B" w:rsidRPr="0030673B" w:rsidRDefault="0030673B" w:rsidP="00965610">
      <w:pPr>
        <w:ind w:left="720"/>
      </w:pPr>
      <w:r w:rsidRPr="0030673B">
        <w:t xml:space="preserve">Due to space constraints, the results were presented in Table 4.11 below and they indicated that the CR of every construct was above the threshold set at 0.60. Therefore, it can be concluded that internal consistency reliability for all constructed every </w:t>
      </w:r>
      <w:proofErr w:type="gramStart"/>
      <w:r w:rsidRPr="0030673B">
        <w:t>constructs</w:t>
      </w:r>
      <w:proofErr w:type="gramEnd"/>
      <w:r w:rsidRPr="0030673B">
        <w:t xml:space="preserve"> was established. Furthermore, the study showed that the AVEs were within the recommended values of being between 0.5 to 0.8, which are </w:t>
      </w:r>
      <w:r w:rsidRPr="0030673B">
        <w:lastRenderedPageBreak/>
        <w:t xml:space="preserve">0.559 to 0.785. Therefore, each of the latent variables was above the threshold value and was considered to have satisfied all the rules of convergent validity and internal consistency </w:t>
      </w:r>
      <w:proofErr w:type="gramStart"/>
      <w:r w:rsidRPr="0030673B">
        <w:t>reliability..</w:t>
      </w:r>
      <w:proofErr w:type="gramEnd"/>
    </w:p>
    <w:p w:rsidR="0030673B" w:rsidRPr="0030673B" w:rsidRDefault="0030673B" w:rsidP="0030673B">
      <w:pPr>
        <w:rPr>
          <w:bCs/>
          <w:lang w:val="en-MY"/>
        </w:rPr>
      </w:pPr>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11</w:t>
      </w:r>
      <w:r w:rsidRPr="0030673B">
        <w:fldChar w:fldCharType="end"/>
      </w:r>
      <w:bookmarkEnd w:id="88"/>
      <w:bookmarkEnd w:id="89"/>
      <w:bookmarkEnd w:id="90"/>
      <w:bookmarkEnd w:id="91"/>
      <w:bookmarkEnd w:id="92"/>
      <w:bookmarkEnd w:id="93"/>
      <w:bookmarkEnd w:id="94"/>
      <w:bookmarkEnd w:id="95"/>
      <w:bookmarkEnd w:id="96"/>
      <w:bookmarkEnd w:id="97"/>
      <w:r w:rsidRPr="0030673B">
        <w:rPr>
          <w:bCs/>
          <w:lang w:val="en-MY"/>
        </w:rPr>
        <w:t xml:space="preserve"> First-order Measurement Result for Reliability and Validity</w:t>
      </w:r>
      <w:bookmarkEnd w:id="98"/>
    </w:p>
    <w:p w:rsidR="0030673B" w:rsidRPr="0030673B" w:rsidRDefault="0030673B" w:rsidP="0030673B">
      <w:pPr>
        <w:rPr>
          <w:bCs/>
          <w:i/>
          <w:iCs/>
        </w:rPr>
      </w:pPr>
      <w:r w:rsidRPr="0030673B">
        <w:rPr>
          <w:bCs/>
          <w:i/>
          <w:iCs/>
        </w:rPr>
        <w:t>First-order Measurement Result for Internal Consistency Reliability and Convergent Validity</w:t>
      </w:r>
    </w:p>
    <w:p w:rsidR="0030673B" w:rsidRPr="0030673B" w:rsidRDefault="0030673B" w:rsidP="0030673B">
      <w:pPr>
        <w:rPr>
          <w:bCs/>
          <w:i/>
          <w:iCs/>
          <w:lang w:val="en-MY"/>
        </w:rPr>
      </w:pPr>
      <w:r w:rsidRPr="0030673B">
        <w:rPr>
          <w:bCs/>
          <w:i/>
          <w:iCs/>
        </w:rPr>
        <w:t xml:space="preserve"> </w:t>
      </w:r>
      <w:r w:rsidRPr="0030673B">
        <w:rPr>
          <w:bCs/>
          <w:i/>
          <w:iCs/>
          <w:lang w:val="en-MY"/>
        </w:rPr>
        <w:fldChar w:fldCharType="begin"/>
      </w:r>
      <w:r w:rsidRPr="0030673B">
        <w:rPr>
          <w:bCs/>
          <w:i/>
          <w:iCs/>
          <w:lang w:val="en-MY"/>
        </w:rPr>
        <w:instrText xml:space="preserve"> LINK Excel.Sheet.12 "E:\\PhD MEDIU\\PhD THESIS\\QUESTIONAIRE\\questionaire 210 result 200720.xlsx" Sheet7!R2C2:R40C6 \a \f 4 \h  \* MERGEFORMAT </w:instrText>
      </w:r>
      <w:r w:rsidRPr="0030673B">
        <w:rPr>
          <w:bCs/>
          <w:i/>
          <w:iCs/>
          <w:lang w:val="en-MY"/>
        </w:rPr>
        <w:fldChar w:fldCharType="separate"/>
      </w:r>
    </w:p>
    <w:tbl>
      <w:tblPr>
        <w:tblW w:w="9062" w:type="dxa"/>
        <w:tblLook w:val="04A0" w:firstRow="1" w:lastRow="0" w:firstColumn="1" w:lastColumn="0" w:noHBand="0" w:noVBand="1"/>
      </w:tblPr>
      <w:tblGrid>
        <w:gridCol w:w="3233"/>
        <w:gridCol w:w="1559"/>
        <w:gridCol w:w="1016"/>
        <w:gridCol w:w="1557"/>
        <w:gridCol w:w="1697"/>
      </w:tblGrid>
      <w:tr w:rsidR="0030673B" w:rsidRPr="0030673B" w:rsidTr="0030673B">
        <w:trPr>
          <w:trHeight w:val="20"/>
        </w:trPr>
        <w:tc>
          <w:tcPr>
            <w:tcW w:w="3251" w:type="dxa"/>
            <w:tcBorders>
              <w:top w:val="single" w:sz="8" w:space="0" w:color="auto"/>
              <w:left w:val="single" w:sz="8" w:space="0" w:color="auto"/>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Model Constructs</w:t>
            </w:r>
          </w:p>
        </w:tc>
        <w:tc>
          <w:tcPr>
            <w:tcW w:w="1559" w:type="dxa"/>
            <w:tcBorders>
              <w:top w:val="single" w:sz="8" w:space="0" w:color="auto"/>
              <w:left w:val="nil"/>
              <w:bottom w:val="single" w:sz="4" w:space="0" w:color="auto"/>
              <w:right w:val="single" w:sz="8" w:space="0" w:color="auto"/>
            </w:tcBorders>
            <w:vAlign w:val="center"/>
            <w:hideMark/>
          </w:tcPr>
          <w:p w:rsidR="0030673B" w:rsidRPr="0030673B" w:rsidRDefault="0030673B" w:rsidP="0030673B">
            <w:pPr>
              <w:rPr>
                <w:lang w:val="en-MY"/>
              </w:rPr>
            </w:pPr>
            <w:r w:rsidRPr="0030673B">
              <w:rPr>
                <w:lang w:val="en-MY"/>
              </w:rPr>
              <w:t>Measurement Item</w:t>
            </w:r>
          </w:p>
        </w:tc>
        <w:tc>
          <w:tcPr>
            <w:tcW w:w="992" w:type="dxa"/>
            <w:tcBorders>
              <w:top w:val="single" w:sz="8" w:space="0" w:color="auto"/>
              <w:left w:val="nil"/>
              <w:bottom w:val="single" w:sz="4" w:space="0" w:color="auto"/>
              <w:right w:val="single" w:sz="8" w:space="0" w:color="auto"/>
            </w:tcBorders>
            <w:vAlign w:val="center"/>
            <w:hideMark/>
          </w:tcPr>
          <w:p w:rsidR="0030673B" w:rsidRPr="0030673B" w:rsidRDefault="0030673B" w:rsidP="0030673B">
            <w:pPr>
              <w:rPr>
                <w:lang w:val="en-MY"/>
              </w:rPr>
            </w:pPr>
            <w:r w:rsidRPr="0030673B">
              <w:rPr>
                <w:lang w:val="en-MY"/>
              </w:rPr>
              <w:t>Loading</w:t>
            </w:r>
          </w:p>
        </w:tc>
        <w:tc>
          <w:tcPr>
            <w:tcW w:w="1559" w:type="dxa"/>
            <w:tcBorders>
              <w:top w:val="single" w:sz="8" w:space="0" w:color="auto"/>
              <w:left w:val="nil"/>
              <w:bottom w:val="single" w:sz="8" w:space="0" w:color="auto"/>
              <w:right w:val="single" w:sz="8" w:space="0" w:color="auto"/>
            </w:tcBorders>
            <w:vAlign w:val="center"/>
            <w:hideMark/>
          </w:tcPr>
          <w:p w:rsidR="0030673B" w:rsidRPr="0030673B" w:rsidRDefault="0030673B" w:rsidP="0030673B">
            <w:pPr>
              <w:rPr>
                <w:b/>
                <w:bCs/>
              </w:rPr>
            </w:pPr>
            <w:r w:rsidRPr="0030673B">
              <w:rPr>
                <w:b/>
                <w:bCs/>
              </w:rPr>
              <w:t>Composite Reliability (CR)</w:t>
            </w:r>
          </w:p>
        </w:tc>
        <w:tc>
          <w:tcPr>
            <w:tcW w:w="1701" w:type="dxa"/>
            <w:tcBorders>
              <w:top w:val="single" w:sz="8" w:space="0" w:color="auto"/>
              <w:left w:val="nil"/>
              <w:bottom w:val="single" w:sz="8" w:space="0" w:color="auto"/>
              <w:right w:val="single" w:sz="8" w:space="0" w:color="auto"/>
            </w:tcBorders>
            <w:vAlign w:val="center"/>
            <w:hideMark/>
          </w:tcPr>
          <w:p w:rsidR="0030673B" w:rsidRPr="0030673B" w:rsidRDefault="0030673B" w:rsidP="0030673B">
            <w:pPr>
              <w:rPr>
                <w:b/>
                <w:bCs/>
              </w:rPr>
            </w:pPr>
            <w:r w:rsidRPr="0030673B">
              <w:rPr>
                <w:b/>
                <w:bCs/>
              </w:rPr>
              <w:t>Average Variance Extracted (AVE)</w:t>
            </w: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t>Patient education</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0.818</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0.962</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0.785</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0.927</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0.949</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PE4</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0.922</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PE5</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0.921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PE6</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0.93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PE7</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0.71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t>Digital health tools in patient care:</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DH1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0.862</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0.840</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0.769</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DH2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0.828</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DH3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0.895</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DH4</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0.823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DH5</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0.811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t>Patient satisfaction in terms of convenience, courtesy, and quality of care</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PS1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0.773</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0.862</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0.611</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PS2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0.776</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PS3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0.696</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153"/>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PS4</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0.873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153"/>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PS5</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0.763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153"/>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PS6</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0.833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lastRenderedPageBreak/>
              <w:t>Patient's experiences of OPD services and facilities:</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OPD1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0.637</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0.904</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0.614</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OPD2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0.883</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OPD3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0.74</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OPD4</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0.892</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OPD5</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0.839</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OPD6</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0.671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t>Accessibility of services:</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AS1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0.677</w:t>
            </w:r>
          </w:p>
        </w:tc>
        <w:tc>
          <w:tcPr>
            <w:tcW w:w="1559" w:type="dxa"/>
            <w:vMerge w:val="restart"/>
            <w:tcBorders>
              <w:top w:val="nil"/>
              <w:left w:val="single" w:sz="4" w:space="0" w:color="auto"/>
              <w:bottom w:val="single" w:sz="8" w:space="0" w:color="auto"/>
              <w:right w:val="single" w:sz="8" w:space="0" w:color="auto"/>
            </w:tcBorders>
            <w:vAlign w:val="center"/>
            <w:hideMark/>
          </w:tcPr>
          <w:p w:rsidR="0030673B" w:rsidRPr="0030673B" w:rsidRDefault="0030673B" w:rsidP="0030673B">
            <w:pPr>
              <w:rPr>
                <w:b/>
                <w:bCs/>
              </w:rPr>
            </w:pPr>
            <w:r w:rsidRPr="0030673B">
              <w:rPr>
                <w:b/>
                <w:bCs/>
              </w:rPr>
              <w:t> </w:t>
            </w:r>
          </w:p>
          <w:p w:rsidR="0030673B" w:rsidRPr="0030673B" w:rsidRDefault="0030673B" w:rsidP="0030673B">
            <w:pPr>
              <w:rPr>
                <w:b/>
                <w:bCs/>
              </w:rPr>
            </w:pPr>
            <w:r w:rsidRPr="0030673B">
              <w:rPr>
                <w:b/>
                <w:bCs/>
              </w:rPr>
              <w:t>0.835</w:t>
            </w:r>
          </w:p>
          <w:p w:rsidR="0030673B" w:rsidRPr="0030673B" w:rsidRDefault="0030673B" w:rsidP="0030673B">
            <w:pPr>
              <w:rPr>
                <w:b/>
                <w:bCs/>
              </w:rPr>
            </w:pPr>
            <w:r w:rsidRPr="0030673B">
              <w:t> </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0.559</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AS2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0.78</w:t>
            </w:r>
          </w:p>
        </w:tc>
        <w:tc>
          <w:tcPr>
            <w:tcW w:w="0" w:type="auto"/>
            <w:vMerge/>
            <w:tcBorders>
              <w:top w:val="nil"/>
              <w:left w:val="single" w:sz="4" w:space="0" w:color="auto"/>
              <w:bottom w:val="single" w:sz="8" w:space="0" w:color="auto"/>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AS3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0.794</w:t>
            </w:r>
          </w:p>
        </w:tc>
        <w:tc>
          <w:tcPr>
            <w:tcW w:w="0" w:type="auto"/>
            <w:vMerge/>
            <w:tcBorders>
              <w:top w:val="nil"/>
              <w:left w:val="single" w:sz="4" w:space="0" w:color="auto"/>
              <w:bottom w:val="single" w:sz="8" w:space="0" w:color="auto"/>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AS4</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0.733</w:t>
            </w:r>
          </w:p>
        </w:tc>
        <w:tc>
          <w:tcPr>
            <w:tcW w:w="0" w:type="auto"/>
            <w:vMerge/>
            <w:tcBorders>
              <w:top w:val="nil"/>
              <w:left w:val="single" w:sz="4" w:space="0" w:color="auto"/>
              <w:bottom w:val="single" w:sz="8" w:space="0" w:color="auto"/>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r w:rsidRPr="0030673B">
              <w:t>Waiting times:</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WT1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0.77</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0.956</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0.707</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WT2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0.824</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WT3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0.881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WT4</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0.821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3251" w:type="dxa"/>
            <w:vMerge w:val="restart"/>
            <w:tcBorders>
              <w:top w:val="nil"/>
              <w:left w:val="single" w:sz="8" w:space="0" w:color="auto"/>
              <w:bottom w:val="single" w:sz="8" w:space="0" w:color="000000"/>
              <w:right w:val="single" w:sz="4" w:space="0" w:color="auto"/>
            </w:tcBorders>
            <w:vAlign w:val="center"/>
            <w:hideMark/>
          </w:tcPr>
          <w:p w:rsidR="0030673B" w:rsidRPr="0030673B" w:rsidRDefault="0030673B" w:rsidP="0030673B">
            <w:pPr>
              <w:rPr>
                <w:lang w:val="en-MY"/>
              </w:rPr>
            </w:pPr>
            <w:r w:rsidRPr="0030673B">
              <w:rPr>
                <w:lang w:val="en-MY"/>
              </w:rPr>
              <w:t>Technology Efficiency</w:t>
            </w:r>
          </w:p>
        </w:tc>
        <w:tc>
          <w:tcPr>
            <w:tcW w:w="1559"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TE1</w:t>
            </w:r>
          </w:p>
        </w:tc>
        <w:tc>
          <w:tcPr>
            <w:tcW w:w="992" w:type="dxa"/>
            <w:tcBorders>
              <w:top w:val="single" w:sz="4" w:space="0" w:color="auto"/>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0.864</w:t>
            </w:r>
          </w:p>
        </w:tc>
        <w:tc>
          <w:tcPr>
            <w:tcW w:w="1559" w:type="dxa"/>
            <w:vMerge w:val="restart"/>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0.852</w:t>
            </w:r>
          </w:p>
        </w:tc>
        <w:tc>
          <w:tcPr>
            <w:tcW w:w="1701" w:type="dxa"/>
            <w:vMerge w:val="restart"/>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r w:rsidRPr="0030673B">
              <w:rPr>
                <w:b/>
                <w:bCs/>
              </w:rPr>
              <w:t>0.793</w:t>
            </w: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pPr>
              <w:rPr>
                <w:lang w:val="en-MY"/>
              </w:rPr>
            </w:pPr>
          </w:p>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TE2</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0.856</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pPr>
              <w:rPr>
                <w:lang w:val="en-MY"/>
              </w:rPr>
            </w:pPr>
          </w:p>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TE3</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0.831</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pPr>
              <w:rPr>
                <w:lang w:val="en-MY"/>
              </w:rPr>
            </w:pPr>
          </w:p>
        </w:tc>
        <w:tc>
          <w:tcPr>
            <w:tcW w:w="1559"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TE4</w:t>
            </w:r>
          </w:p>
        </w:tc>
        <w:tc>
          <w:tcPr>
            <w:tcW w:w="992" w:type="dxa"/>
            <w:tcBorders>
              <w:top w:val="nil"/>
              <w:left w:val="single" w:sz="4" w:space="0" w:color="auto"/>
              <w:bottom w:val="nil"/>
              <w:right w:val="single" w:sz="4" w:space="0" w:color="auto"/>
            </w:tcBorders>
            <w:vAlign w:val="center"/>
            <w:hideMark/>
          </w:tcPr>
          <w:p w:rsidR="0030673B" w:rsidRPr="0030673B" w:rsidRDefault="0030673B" w:rsidP="0030673B">
            <w:pPr>
              <w:rPr>
                <w:lang w:val="en-MY"/>
              </w:rPr>
            </w:pPr>
            <w:r w:rsidRPr="0030673B">
              <w:rPr>
                <w:lang w:val="en-MY"/>
              </w:rPr>
              <w:t>0.858</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r w:rsidR="0030673B" w:rsidRPr="0030673B" w:rsidTr="0030673B">
        <w:trPr>
          <w:trHeight w:val="20"/>
        </w:trPr>
        <w:tc>
          <w:tcPr>
            <w:tcW w:w="0" w:type="auto"/>
            <w:vMerge/>
            <w:tcBorders>
              <w:top w:val="nil"/>
              <w:left w:val="single" w:sz="8" w:space="0" w:color="auto"/>
              <w:bottom w:val="single" w:sz="8" w:space="0" w:color="000000"/>
              <w:right w:val="single" w:sz="4" w:space="0" w:color="auto"/>
            </w:tcBorders>
            <w:vAlign w:val="center"/>
            <w:hideMark/>
          </w:tcPr>
          <w:p w:rsidR="0030673B" w:rsidRPr="0030673B" w:rsidRDefault="0030673B" w:rsidP="0030673B">
            <w:pPr>
              <w:rPr>
                <w:lang w:val="en-MY"/>
              </w:rPr>
            </w:pPr>
          </w:p>
        </w:tc>
        <w:tc>
          <w:tcPr>
            <w:tcW w:w="1559"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TE5</w:t>
            </w:r>
          </w:p>
        </w:tc>
        <w:tc>
          <w:tcPr>
            <w:tcW w:w="992" w:type="dxa"/>
            <w:tcBorders>
              <w:top w:val="nil"/>
              <w:left w:val="single" w:sz="4" w:space="0" w:color="auto"/>
              <w:bottom w:val="single" w:sz="4" w:space="0" w:color="auto"/>
              <w:right w:val="single" w:sz="4" w:space="0" w:color="auto"/>
            </w:tcBorders>
            <w:vAlign w:val="center"/>
            <w:hideMark/>
          </w:tcPr>
          <w:p w:rsidR="0030673B" w:rsidRPr="0030673B" w:rsidRDefault="0030673B" w:rsidP="0030673B">
            <w:pPr>
              <w:rPr>
                <w:lang w:val="en-MY"/>
              </w:rPr>
            </w:pPr>
            <w:r w:rsidRPr="0030673B">
              <w:rPr>
                <w:lang w:val="en-MY"/>
              </w:rPr>
              <w:t>0.859</w:t>
            </w:r>
          </w:p>
        </w:tc>
        <w:tc>
          <w:tcPr>
            <w:tcW w:w="0" w:type="auto"/>
            <w:vMerge/>
            <w:tcBorders>
              <w:top w:val="nil"/>
              <w:left w:val="single" w:sz="4" w:space="0" w:color="auto"/>
              <w:bottom w:val="single" w:sz="8" w:space="0" w:color="000000"/>
              <w:right w:val="single" w:sz="8" w:space="0" w:color="auto"/>
            </w:tcBorders>
            <w:vAlign w:val="center"/>
            <w:hideMark/>
          </w:tcPr>
          <w:p w:rsidR="0030673B" w:rsidRPr="0030673B" w:rsidRDefault="0030673B" w:rsidP="0030673B">
            <w:pPr>
              <w:rPr>
                <w:b/>
                <w:bCs/>
              </w:rPr>
            </w:pPr>
          </w:p>
        </w:tc>
        <w:tc>
          <w:tcPr>
            <w:tcW w:w="0" w:type="auto"/>
            <w:vMerge/>
            <w:tcBorders>
              <w:top w:val="nil"/>
              <w:left w:val="single" w:sz="8" w:space="0" w:color="auto"/>
              <w:bottom w:val="single" w:sz="8" w:space="0" w:color="000000"/>
              <w:right w:val="single" w:sz="8" w:space="0" w:color="auto"/>
            </w:tcBorders>
            <w:vAlign w:val="center"/>
            <w:hideMark/>
          </w:tcPr>
          <w:p w:rsidR="0030673B" w:rsidRPr="0030673B" w:rsidRDefault="0030673B" w:rsidP="0030673B">
            <w:pPr>
              <w:rPr>
                <w:b/>
                <w:bCs/>
              </w:rPr>
            </w:pPr>
          </w:p>
        </w:tc>
      </w:tr>
    </w:tbl>
    <w:p w:rsidR="0030673B" w:rsidRPr="0030673B" w:rsidRDefault="0030673B" w:rsidP="0030673B">
      <w:pPr>
        <w:rPr>
          <w:lang w:val="en-MY"/>
        </w:rPr>
      </w:pPr>
      <w:r w:rsidRPr="0030673B">
        <w:fldChar w:fldCharType="end"/>
      </w:r>
    </w:p>
    <w:p w:rsidR="0030673B" w:rsidRPr="0030673B" w:rsidRDefault="0030673B" w:rsidP="00965610">
      <w:pPr>
        <w:ind w:firstLine="720"/>
      </w:pPr>
      <w:r w:rsidRPr="0030673B">
        <w:t xml:space="preserve">Because of the space limitations, the results were displayed in Table 4.11 below and it pointed out that the CR of every construct was greater than the fixed 0.60. Hence, it might be affirmed that internal consistency reliability for all constructed every </w:t>
      </w:r>
      <w:proofErr w:type="gramStart"/>
      <w:r w:rsidRPr="0030673B">
        <w:t>constructs</w:t>
      </w:r>
      <w:proofErr w:type="gramEnd"/>
      <w:r w:rsidRPr="0030673B">
        <w:t xml:space="preserve"> was maintained. Moreover, from the study, it was found that the AVEs were between 0.5 to 0.8 which are 0.559 to 0.785. Hence all of the latent constructs were more than the decided threshold value and hence were all considered to have met all the tenets of convergent validity and internal consistency </w:t>
      </w:r>
      <w:proofErr w:type="spellStart"/>
      <w:proofErr w:type="gramStart"/>
      <w:r w:rsidRPr="0030673B">
        <w:t>reliability.validity</w:t>
      </w:r>
      <w:proofErr w:type="spellEnd"/>
      <w:proofErr w:type="gramEnd"/>
      <w:r w:rsidRPr="0030673B">
        <w:t xml:space="preserve">. </w:t>
      </w:r>
    </w:p>
    <w:p w:rsidR="00965610" w:rsidRPr="00965610" w:rsidRDefault="00965610" w:rsidP="00965610">
      <w:pPr>
        <w:ind w:firstLine="720"/>
        <w:rPr>
          <w:lang w:val="en-US"/>
        </w:rPr>
      </w:pPr>
      <w:r w:rsidRPr="00965610">
        <w:rPr>
          <w:lang w:val="en-US"/>
        </w:rPr>
        <w:t xml:space="preserve">The criteria put forward by Fornell and Larcker (1981) were used to evaluate the measures' discriminant validity in this investigation. Table 4.12 below displays the correlation matrix's diagonal </w:t>
      </w:r>
      <w:r w:rsidRPr="00965610">
        <w:rPr>
          <w:lang w:val="en-US"/>
        </w:rPr>
        <w:lastRenderedPageBreak/>
        <w:t>components, which are the average variance square root extracted from the latent constructs. If the diagonal items in the rows and columns are larger than the other off-diagonal elements, discriminant validity will exist. Every one of the seven latent constructs that were suggested to have a higher square root of AVE than their relationship to any other construct in the research model was discovered.</w:t>
      </w:r>
    </w:p>
    <w:p w:rsidR="0030673B" w:rsidRPr="0030673B" w:rsidRDefault="0030673B" w:rsidP="00965610">
      <w:r w:rsidRPr="0030673B">
        <w:t xml:space="preserve"> Table 4.12 demonstrated discriminant validity because this was clearly the situation in the correlation matrix. </w:t>
      </w:r>
    </w:p>
    <w:p w:rsidR="0030673B" w:rsidRPr="0030673B" w:rsidRDefault="0030673B" w:rsidP="0030673B">
      <w:pPr>
        <w:rPr>
          <w:b/>
          <w:lang w:val="en-MY"/>
        </w:rPr>
      </w:pPr>
      <w:bookmarkStart w:id="134" w:name="_Toc65501052"/>
      <w:bookmarkStart w:id="135" w:name="_Toc54314735"/>
      <w:bookmarkStart w:id="136" w:name="_Toc56082772"/>
      <w:bookmarkStart w:id="137" w:name="_Toc56099355"/>
      <w:bookmarkStart w:id="138" w:name="_Toc56100703"/>
      <w:bookmarkStart w:id="139" w:name="_Toc56266941"/>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12</w:t>
      </w:r>
      <w:r w:rsidRPr="0030673B">
        <w:fldChar w:fldCharType="end"/>
      </w:r>
      <w:r w:rsidRPr="0030673B">
        <w:rPr>
          <w:b/>
          <w:lang w:val="en-MY"/>
        </w:rPr>
        <w:t xml:space="preserve"> Correlations among Constructs and Discriminant Validity</w:t>
      </w:r>
      <w:bookmarkEnd w:id="134"/>
    </w:p>
    <w:p w:rsidR="0030673B" w:rsidRPr="0030673B" w:rsidRDefault="0030673B" w:rsidP="0030673B">
      <w:pPr>
        <w:rPr>
          <w:bCs/>
          <w:i/>
          <w:iCs/>
          <w:lang w:val="en-MY"/>
        </w:rPr>
      </w:pPr>
      <w:r w:rsidRPr="0030673B">
        <w:rPr>
          <w:bCs/>
          <w:i/>
          <w:iCs/>
          <w:lang w:val="en-MY"/>
        </w:rPr>
        <w:t>Correlations among Constructs and Discriminant Validity</w:t>
      </w:r>
      <w:bookmarkEnd w:id="135"/>
      <w:bookmarkEnd w:id="136"/>
      <w:bookmarkEnd w:id="137"/>
      <w:bookmarkEnd w:id="138"/>
      <w:bookmarkEnd w:id="139"/>
    </w:p>
    <w:tbl>
      <w:tblPr>
        <w:tblW w:w="9021" w:type="dxa"/>
        <w:tblInd w:w="-5" w:type="dxa"/>
        <w:tblLook w:val="04A0" w:firstRow="1" w:lastRow="0" w:firstColumn="1" w:lastColumn="0" w:noHBand="0" w:noVBand="1"/>
      </w:tblPr>
      <w:tblGrid>
        <w:gridCol w:w="2478"/>
        <w:gridCol w:w="779"/>
        <w:gridCol w:w="1018"/>
        <w:gridCol w:w="967"/>
        <w:gridCol w:w="967"/>
        <w:gridCol w:w="967"/>
        <w:gridCol w:w="1104"/>
        <w:gridCol w:w="756"/>
      </w:tblGrid>
      <w:tr w:rsidR="0030673B" w:rsidRPr="0030673B" w:rsidTr="0030673B">
        <w:trPr>
          <w:trHeight w:val="472"/>
        </w:trPr>
        <w:tc>
          <w:tcPr>
            <w:tcW w:w="2478" w:type="dxa"/>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rtl/>
              </w:rPr>
            </w:pPr>
            <w:r w:rsidRPr="0030673B">
              <w:rPr>
                <w:lang w:val="en-MY"/>
              </w:rPr>
              <w:t> </w:t>
            </w:r>
          </w:p>
        </w:tc>
        <w:tc>
          <w:tcPr>
            <w:tcW w:w="779"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1</w:t>
            </w:r>
          </w:p>
        </w:tc>
        <w:tc>
          <w:tcPr>
            <w:tcW w:w="1018"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2</w:t>
            </w:r>
            <w:r w:rsidRPr="0030673B">
              <w:rPr>
                <w:lang w:val="en-MY"/>
              </w:rPr>
              <w:t xml:space="preserve">  </w:t>
            </w:r>
          </w:p>
        </w:tc>
        <w:tc>
          <w:tcPr>
            <w:tcW w:w="967"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3</w:t>
            </w:r>
          </w:p>
        </w:tc>
        <w:tc>
          <w:tcPr>
            <w:tcW w:w="967"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4</w:t>
            </w:r>
          </w:p>
        </w:tc>
        <w:tc>
          <w:tcPr>
            <w:tcW w:w="967"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5</w:t>
            </w:r>
          </w:p>
        </w:tc>
        <w:tc>
          <w:tcPr>
            <w:tcW w:w="1104" w:type="dxa"/>
            <w:tcBorders>
              <w:top w:val="single" w:sz="4" w:space="0" w:color="auto"/>
              <w:left w:val="nil"/>
              <w:bottom w:val="single" w:sz="4" w:space="0" w:color="auto"/>
              <w:right w:val="single" w:sz="4" w:space="0" w:color="auto"/>
            </w:tcBorders>
            <w:vAlign w:val="center"/>
            <w:hideMark/>
          </w:tcPr>
          <w:p w:rsidR="0030673B" w:rsidRPr="0030673B" w:rsidRDefault="0030673B" w:rsidP="0030673B">
            <w:pPr>
              <w:rPr>
                <w:lang w:val="en-MY"/>
              </w:rPr>
            </w:pPr>
            <w:r w:rsidRPr="0030673B">
              <w:rPr>
                <w:rFonts w:hint="eastAsia"/>
                <w:rtl/>
              </w:rPr>
              <w:t>6</w:t>
            </w:r>
          </w:p>
        </w:tc>
        <w:tc>
          <w:tcPr>
            <w:tcW w:w="741" w:type="dxa"/>
            <w:tcBorders>
              <w:top w:val="single" w:sz="4" w:space="0" w:color="auto"/>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rFonts w:hint="eastAsia"/>
                <w:rtl/>
              </w:rPr>
              <w:t>7</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Patient education</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0.876</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hideMark/>
          </w:tcPr>
          <w:p w:rsidR="0030673B" w:rsidRPr="0030673B" w:rsidRDefault="0030673B" w:rsidP="0030673B">
            <w:r w:rsidRPr="0030673B">
              <w:rPr>
                <w:lang w:val="en-MY"/>
              </w:rPr>
              <w:t>Digital health tools in patient care</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0.412</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0.884</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Patient satisfaction</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0.378</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0.423</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0.787</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Patient's experiences of OPD services and facilities</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0.551</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0.487</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0.501</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0.729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xml:space="preserve">Accessibility of services </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0.213</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0.597</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0.289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0.189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0.656</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Waiting times</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0.389</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0.338</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0.457</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0.859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0.151</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0.892</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 </w:t>
            </w:r>
          </w:p>
        </w:tc>
      </w:tr>
      <w:tr w:rsidR="0030673B" w:rsidRPr="0030673B" w:rsidTr="0030673B">
        <w:trPr>
          <w:trHeight w:val="316"/>
        </w:trPr>
        <w:tc>
          <w:tcPr>
            <w:tcW w:w="2478" w:type="dxa"/>
            <w:tcBorders>
              <w:top w:val="nil"/>
              <w:left w:val="single" w:sz="4" w:space="0" w:color="auto"/>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Technology efficiency</w:t>
            </w:r>
          </w:p>
        </w:tc>
        <w:tc>
          <w:tcPr>
            <w:tcW w:w="779"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0.755</w:t>
            </w:r>
          </w:p>
        </w:tc>
        <w:tc>
          <w:tcPr>
            <w:tcW w:w="1018"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0.405</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0.399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0.479</w:t>
            </w:r>
          </w:p>
        </w:tc>
        <w:tc>
          <w:tcPr>
            <w:tcW w:w="967"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0.249</w:t>
            </w:r>
          </w:p>
        </w:tc>
        <w:tc>
          <w:tcPr>
            <w:tcW w:w="1104"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0.483</w:t>
            </w:r>
          </w:p>
        </w:tc>
        <w:tc>
          <w:tcPr>
            <w:tcW w:w="741" w:type="dxa"/>
            <w:tcBorders>
              <w:top w:val="nil"/>
              <w:left w:val="nil"/>
              <w:bottom w:val="single" w:sz="4" w:space="0" w:color="auto"/>
              <w:right w:val="single" w:sz="4" w:space="0" w:color="auto"/>
            </w:tcBorders>
            <w:noWrap/>
            <w:vAlign w:val="center"/>
            <w:hideMark/>
          </w:tcPr>
          <w:p w:rsidR="0030673B" w:rsidRPr="0030673B" w:rsidRDefault="0030673B" w:rsidP="0030673B">
            <w:pPr>
              <w:rPr>
                <w:lang w:val="en-MY"/>
              </w:rPr>
            </w:pPr>
            <w:r w:rsidRPr="0030673B">
              <w:rPr>
                <w:lang w:val="en-MY"/>
              </w:rPr>
              <w:t>0.877</w:t>
            </w:r>
          </w:p>
        </w:tc>
      </w:tr>
    </w:tbl>
    <w:p w:rsidR="0030673B" w:rsidRPr="0030673B" w:rsidRDefault="0030673B" w:rsidP="0030673B">
      <w:pPr>
        <w:rPr>
          <w:lang w:val="en-MY"/>
        </w:rPr>
      </w:pPr>
    </w:p>
    <w:p w:rsidR="0030673B" w:rsidRPr="0030673B" w:rsidRDefault="0030673B" w:rsidP="0030673B">
      <w:r w:rsidRPr="0030673B">
        <w:t xml:space="preserve">Table 4.12 provided evidence that each of the seven latent components met the criteria for discriminant validity. Every latent construct has a larger square root of AVE than its squared correlation with every other construct. After utilizing Fornell and Larcker's (1981) method to attain discriminant validity, the study also adopted Chin's (2020) suggested methodology, which involved comparing the loadings of the indicators with their cross-loadings. The exercise's outcome is shown in Table 4.13 below. </w:t>
      </w:r>
    </w:p>
    <w:p w:rsidR="0030673B" w:rsidRPr="0030673B" w:rsidRDefault="0030673B" w:rsidP="0030673B">
      <w:pPr>
        <w:rPr>
          <w:lang w:val="en-MY"/>
        </w:rPr>
      </w:pPr>
    </w:p>
    <w:p w:rsidR="0030673B" w:rsidRPr="0030673B" w:rsidRDefault="0030673B" w:rsidP="0030673B">
      <w:pPr>
        <w:rPr>
          <w:bCs/>
          <w:i/>
          <w:iCs/>
          <w:lang w:val="en-MY"/>
        </w:rPr>
      </w:pPr>
      <w:r w:rsidRPr="0030673B">
        <w:rPr>
          <w:bCs/>
          <w:i/>
          <w:iCs/>
          <w:lang w:val="en-MY"/>
        </w:rPr>
        <w:t xml:space="preserve">Validity Analysis </w:t>
      </w:r>
    </w:p>
    <w:tbl>
      <w:tblPr>
        <w:tblStyle w:val="TableGrid"/>
        <w:tblW w:w="9728" w:type="dxa"/>
        <w:tblLook w:val="04A0" w:firstRow="1" w:lastRow="0" w:firstColumn="1" w:lastColumn="0" w:noHBand="0" w:noVBand="1"/>
      </w:tblPr>
      <w:tblGrid>
        <w:gridCol w:w="865"/>
        <w:gridCol w:w="1149"/>
        <w:gridCol w:w="993"/>
        <w:gridCol w:w="1435"/>
        <w:gridCol w:w="1349"/>
        <w:gridCol w:w="1470"/>
        <w:gridCol w:w="1007"/>
        <w:gridCol w:w="1460"/>
      </w:tblGrid>
      <w:tr w:rsidR="0030673B" w:rsidRPr="0030673B" w:rsidTr="0030673B">
        <w:trPr>
          <w:trHeight w:val="76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149"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t>Patient education</w:t>
            </w:r>
          </w:p>
        </w:tc>
        <w:tc>
          <w:tcPr>
            <w:tcW w:w="993"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 xml:space="preserve">Digital health tools in </w:t>
            </w:r>
            <w:r w:rsidRPr="0030673B">
              <w:lastRenderedPageBreak/>
              <w:t>patient care:</w:t>
            </w:r>
          </w:p>
          <w:p w:rsidR="0030673B" w:rsidRPr="0030673B" w:rsidRDefault="0030673B" w:rsidP="0030673B">
            <w:pPr>
              <w:spacing w:after="160"/>
              <w:rPr>
                <w:b/>
                <w:bCs/>
              </w:rPr>
            </w:pPr>
          </w:p>
        </w:tc>
        <w:tc>
          <w:tcPr>
            <w:tcW w:w="1435"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lastRenderedPageBreak/>
              <w:t xml:space="preserve">Patient satisfaction </w:t>
            </w:r>
          </w:p>
        </w:tc>
        <w:tc>
          <w:tcPr>
            <w:tcW w:w="1349"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t xml:space="preserve">Patient's experiences of OPD </w:t>
            </w:r>
            <w:r w:rsidRPr="0030673B">
              <w:lastRenderedPageBreak/>
              <w:t>services and facilities:</w:t>
            </w:r>
          </w:p>
          <w:p w:rsidR="0030673B" w:rsidRPr="0030673B" w:rsidRDefault="0030673B" w:rsidP="0030673B">
            <w:pPr>
              <w:spacing w:after="160"/>
              <w:rPr>
                <w:b/>
                <w:bCs/>
              </w:rPr>
            </w:pPr>
          </w:p>
        </w:tc>
        <w:tc>
          <w:tcPr>
            <w:tcW w:w="1470"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lastRenderedPageBreak/>
              <w:t>Accessibility of services:</w:t>
            </w:r>
          </w:p>
          <w:p w:rsidR="0030673B" w:rsidRPr="0030673B" w:rsidRDefault="0030673B" w:rsidP="0030673B">
            <w:pPr>
              <w:spacing w:after="160"/>
              <w:rPr>
                <w:b/>
                <w:bCs/>
              </w:rPr>
            </w:pPr>
          </w:p>
        </w:tc>
        <w:tc>
          <w:tcPr>
            <w:tcW w:w="1007" w:type="dxa"/>
            <w:tcBorders>
              <w:top w:val="single" w:sz="4" w:space="0" w:color="auto"/>
              <w:left w:val="single" w:sz="4" w:space="0" w:color="auto"/>
              <w:bottom w:val="single" w:sz="4" w:space="0" w:color="auto"/>
              <w:right w:val="single" w:sz="4" w:space="0" w:color="auto"/>
            </w:tcBorders>
          </w:tcPr>
          <w:p w:rsidR="0030673B" w:rsidRPr="0030673B" w:rsidRDefault="0030673B" w:rsidP="0030673B">
            <w:pPr>
              <w:spacing w:after="160"/>
            </w:pPr>
            <w:r w:rsidRPr="0030673B">
              <w:lastRenderedPageBreak/>
              <w:t>Waiting times:</w:t>
            </w:r>
          </w:p>
          <w:p w:rsidR="0030673B" w:rsidRPr="0030673B" w:rsidRDefault="0030673B" w:rsidP="0030673B">
            <w:pPr>
              <w:spacing w:after="160"/>
              <w:rPr>
                <w:b/>
                <w:bCs/>
              </w:rPr>
            </w:pPr>
          </w:p>
        </w:tc>
        <w:tc>
          <w:tcPr>
            <w:tcW w:w="1460" w:type="dxa"/>
            <w:tcBorders>
              <w:top w:val="single" w:sz="4" w:space="0" w:color="auto"/>
              <w:left w:val="single" w:sz="4" w:space="0" w:color="auto"/>
              <w:bottom w:val="single" w:sz="4" w:space="0" w:color="auto"/>
              <w:right w:val="single" w:sz="4" w:space="0" w:color="auto"/>
            </w:tcBorders>
            <w:hideMark/>
          </w:tcPr>
          <w:p w:rsidR="0030673B" w:rsidRPr="0030673B" w:rsidRDefault="0030673B" w:rsidP="0030673B">
            <w:pPr>
              <w:spacing w:after="160"/>
              <w:rPr>
                <w:b/>
                <w:bCs/>
              </w:rPr>
            </w:pPr>
            <w:r w:rsidRPr="0030673B">
              <w:lastRenderedPageBreak/>
              <w:t>Technology Efficiency</w:t>
            </w:r>
          </w:p>
        </w:tc>
      </w:tr>
      <w:tr w:rsidR="0030673B" w:rsidRPr="0030673B" w:rsidTr="0030673B">
        <w:trPr>
          <w:trHeight w:val="309"/>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.905</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.906</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.910</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.895</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PE5</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.867</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PE6</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.920</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PE7</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.889</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DH1</w:t>
            </w:r>
          </w:p>
        </w:tc>
        <w:tc>
          <w:tcPr>
            <w:tcW w:w="11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993"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.912</w:t>
            </w: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DH2</w:t>
            </w:r>
          </w:p>
        </w:tc>
        <w:tc>
          <w:tcPr>
            <w:tcW w:w="11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993"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.767</w:t>
            </w: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DH3</w:t>
            </w:r>
          </w:p>
        </w:tc>
        <w:tc>
          <w:tcPr>
            <w:tcW w:w="11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993"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.895</w:t>
            </w: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DH4</w:t>
            </w:r>
          </w:p>
        </w:tc>
        <w:tc>
          <w:tcPr>
            <w:tcW w:w="11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993"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.813</w:t>
            </w: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rPr>
                <w:b/>
                <w:bCs/>
              </w:rPr>
            </w:pPr>
            <w:r w:rsidRPr="0030673B">
              <w:rPr>
                <w:b/>
                <w:bCs/>
              </w:rPr>
              <w:t> </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DH5</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.834</w:t>
            </w: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.717</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.785</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.873</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.901</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PS5</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.801</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PS6</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.932</w:t>
            </w: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OPD1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.782</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OPD2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.915</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OPD3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.895</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OPD4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.819</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lastRenderedPageBreak/>
              <w:t>OPD5</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.775</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OPD6</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.921</w:t>
            </w: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AS1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.907</w:t>
            </w: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AS2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.843</w:t>
            </w: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AS3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.765</w:t>
            </w: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rPr>
                <w:b/>
                <w:bCs/>
              </w:rPr>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AS4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.893</w:t>
            </w: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WT1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.881</w:t>
            </w: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WT2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.845</w:t>
            </w: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WT3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.917</w:t>
            </w: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WT4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.767</w:t>
            </w:r>
          </w:p>
        </w:tc>
        <w:tc>
          <w:tcPr>
            <w:tcW w:w="146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TE1</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.782</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TE2</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.834</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TE3</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.719</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TE4</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.927</w:t>
            </w:r>
          </w:p>
        </w:tc>
      </w:tr>
      <w:tr w:rsidR="0030673B" w:rsidRPr="0030673B" w:rsidTr="0030673B">
        <w:trPr>
          <w:trHeight w:val="315"/>
        </w:trPr>
        <w:tc>
          <w:tcPr>
            <w:tcW w:w="865"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TE5</w:t>
            </w:r>
          </w:p>
        </w:tc>
        <w:tc>
          <w:tcPr>
            <w:tcW w:w="1149"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 </w:t>
            </w:r>
          </w:p>
        </w:tc>
        <w:tc>
          <w:tcPr>
            <w:tcW w:w="993"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35"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349"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70"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007" w:type="dxa"/>
            <w:tcBorders>
              <w:top w:val="single" w:sz="4" w:space="0" w:color="auto"/>
              <w:left w:val="single" w:sz="4" w:space="0" w:color="auto"/>
              <w:bottom w:val="single" w:sz="4" w:space="0" w:color="auto"/>
              <w:right w:val="single" w:sz="4" w:space="0" w:color="auto"/>
            </w:tcBorders>
            <w:noWrap/>
          </w:tcPr>
          <w:p w:rsidR="0030673B" w:rsidRPr="0030673B" w:rsidRDefault="0030673B" w:rsidP="0030673B">
            <w:pPr>
              <w:spacing w:after="160"/>
            </w:pPr>
          </w:p>
        </w:tc>
        <w:tc>
          <w:tcPr>
            <w:tcW w:w="1460" w:type="dxa"/>
            <w:tcBorders>
              <w:top w:val="single" w:sz="4" w:space="0" w:color="auto"/>
              <w:left w:val="single" w:sz="4" w:space="0" w:color="auto"/>
              <w:bottom w:val="single" w:sz="4" w:space="0" w:color="auto"/>
              <w:right w:val="single" w:sz="4" w:space="0" w:color="auto"/>
            </w:tcBorders>
            <w:noWrap/>
            <w:hideMark/>
          </w:tcPr>
          <w:p w:rsidR="0030673B" w:rsidRPr="0030673B" w:rsidRDefault="0030673B" w:rsidP="0030673B">
            <w:pPr>
              <w:spacing w:after="160"/>
            </w:pPr>
            <w:r w:rsidRPr="0030673B">
              <w:t>.750</w:t>
            </w:r>
          </w:p>
        </w:tc>
      </w:tr>
    </w:tbl>
    <w:p w:rsidR="0030673B" w:rsidRPr="0030673B" w:rsidRDefault="0030673B" w:rsidP="0030673B"/>
    <w:p w:rsidR="0030673B" w:rsidRPr="0030673B" w:rsidRDefault="0030673B" w:rsidP="00965610">
      <w:pPr>
        <w:ind w:firstLine="720"/>
      </w:pPr>
      <w:r w:rsidRPr="0030673B">
        <w:t>Table 4.13 indicates that each of the seven constructs' indicators' loadings exceeds its cross-loadings, meeting Chin's (2020) recommended discriminant validity requirement. Thus, it can be concluded that the data gathered using the research instrument is legitimate and trustworthy, and as a result, it can be used to test the research hypotheses using the structural model after evaluating the four criteria of measurement model evaluation: indicator or individual item reliability, internal consistency reliability, convergent validity, and discriminant validity.</w:t>
      </w:r>
    </w:p>
    <w:p w:rsidR="0030673B" w:rsidRPr="0030673B" w:rsidRDefault="0030673B" w:rsidP="0030673B">
      <w:pPr>
        <w:rPr>
          <w:bCs/>
        </w:rPr>
      </w:pPr>
      <w:bookmarkStart w:id="140" w:name="_Toc445009524"/>
      <w:bookmarkStart w:id="141" w:name="_Toc451985759"/>
      <w:bookmarkStart w:id="142" w:name="_Toc491423678"/>
      <w:bookmarkStart w:id="143" w:name="_Toc505881960"/>
      <w:bookmarkStart w:id="144" w:name="_Toc54340723"/>
      <w:bookmarkStart w:id="145" w:name="_Toc56088002"/>
      <w:bookmarkStart w:id="146" w:name="_Toc56088251"/>
      <w:bookmarkStart w:id="147" w:name="_Toc65528085"/>
      <w:r w:rsidRPr="0030673B">
        <w:rPr>
          <w:b/>
          <w:bCs/>
        </w:rPr>
        <w:t>4.9</w:t>
      </w:r>
      <w:r w:rsidRPr="0030673B">
        <w:rPr>
          <w:b/>
          <w:bCs/>
        </w:rPr>
        <w:tab/>
        <w:t>PLS-SEM STRUCTURAL MODEL</w:t>
      </w:r>
      <w:bookmarkEnd w:id="140"/>
      <w:bookmarkEnd w:id="141"/>
      <w:bookmarkEnd w:id="142"/>
      <w:bookmarkEnd w:id="143"/>
      <w:bookmarkEnd w:id="144"/>
      <w:bookmarkEnd w:id="145"/>
      <w:bookmarkEnd w:id="146"/>
      <w:bookmarkEnd w:id="147"/>
      <w:r w:rsidRPr="0030673B">
        <w:rPr>
          <w:b/>
          <w:bCs/>
        </w:rPr>
        <w:t xml:space="preserve"> </w:t>
      </w:r>
    </w:p>
    <w:p w:rsidR="0030673B" w:rsidRPr="0030673B" w:rsidRDefault="0030673B" w:rsidP="00965610">
      <w:pPr>
        <w:ind w:firstLine="720"/>
      </w:pPr>
      <w:r w:rsidRPr="0030673B">
        <w:t xml:space="preserve">Regarding the evaluation of the structural model using PLS-SEM, Hair et al. (2011) contended that the R2 values, path coefficients' level, and significance are the initial criteria for evaluating the structural model of PLS-SEM. In actuality, the primary goal of the prediction-oriented PLS-SEM technique is to use the exogenous latent variables to clarify the endogenous latent variable. The definition of R2 level is governed by a particular field of study. For instance, R2 results of.20 are regarded as high in the consumer </w:t>
      </w:r>
      <w:proofErr w:type="spellStart"/>
      <w:r w:rsidRPr="0030673B">
        <w:t>behavior</w:t>
      </w:r>
      <w:proofErr w:type="spellEnd"/>
      <w:r w:rsidRPr="0030673B">
        <w:t xml:space="preserve"> area, whereas R2 values of.75 are seen as strong in the success driver study. In contrast, R2 values of.75 are </w:t>
      </w:r>
      <w:r w:rsidRPr="0030673B">
        <w:lastRenderedPageBreak/>
        <w:t xml:space="preserve">considered substantial,.50 is considered moderate, and.25 is considered weak for endogenous latent variables in the structural model of marketing research (Hair et al., 2018). </w:t>
      </w:r>
    </w:p>
    <w:p w:rsidR="0030673B" w:rsidRPr="0030673B" w:rsidRDefault="0030673B" w:rsidP="0030673B">
      <w:pPr>
        <w:rPr>
          <w:bCs/>
          <w:i/>
          <w:iCs/>
        </w:rPr>
      </w:pPr>
      <w:bookmarkStart w:id="148" w:name="_Toc54340724"/>
      <w:bookmarkStart w:id="149" w:name="_Toc56088003"/>
      <w:bookmarkStart w:id="150" w:name="_Toc56088252"/>
      <w:bookmarkStart w:id="151" w:name="_Toc65528086"/>
      <w:r w:rsidRPr="0030673B">
        <w:rPr>
          <w:b/>
          <w:bCs/>
          <w:i/>
          <w:iCs/>
        </w:rPr>
        <w:t>4.9.1</w:t>
      </w:r>
      <w:r w:rsidRPr="0030673B">
        <w:rPr>
          <w:b/>
          <w:bCs/>
          <w:i/>
          <w:iCs/>
        </w:rPr>
        <w:tab/>
        <w:t>R Square (R²)</w:t>
      </w:r>
      <w:bookmarkEnd w:id="148"/>
      <w:bookmarkEnd w:id="149"/>
      <w:bookmarkEnd w:id="150"/>
      <w:bookmarkEnd w:id="151"/>
      <w:r w:rsidRPr="0030673B">
        <w:rPr>
          <w:b/>
          <w:bCs/>
          <w:i/>
          <w:iCs/>
        </w:rPr>
        <w:t xml:space="preserve"> </w:t>
      </w:r>
    </w:p>
    <w:p w:rsidR="0030673B" w:rsidRPr="0030673B" w:rsidRDefault="0030673B" w:rsidP="00965610">
      <w:pPr>
        <w:ind w:firstLine="720"/>
        <w:rPr>
          <w:lang w:val="en-MY"/>
        </w:rPr>
      </w:pPr>
      <w:r w:rsidRPr="0030673B">
        <w:rPr>
          <w:lang w:val="en-MY"/>
        </w:rPr>
        <w:t xml:space="preserve">Because of this, the R2 value can be used to determine the quality of the structural model. This illustrates how the exogenous variables explain the variance within the endogenous variable. First, based on the results, the model's R2 value was 0.479. This shows that the R2 value is moderate, with 47.9% of the variance in </w:t>
      </w:r>
      <w:proofErr w:type="gramStart"/>
      <w:r w:rsidRPr="0030673B">
        <w:rPr>
          <w:lang w:val="en-MY"/>
        </w:rPr>
        <w:t>Patient</w:t>
      </w:r>
      <w:proofErr w:type="gramEnd"/>
      <w:r w:rsidRPr="0030673B">
        <w:rPr>
          <w:lang w:val="en-MY"/>
        </w:rPr>
        <w:t xml:space="preserve"> education being explained by the combined effects of Digital health tools in patient care, Patient satisfaction in terms of convenience, courtesy, and quality of care Patient's experiences of OPD services and facilities, Accessibility of services, Waiting times and Technology Efficiency. </w:t>
      </w:r>
    </w:p>
    <w:p w:rsidR="0030673B" w:rsidRPr="0030673B" w:rsidRDefault="0030673B" w:rsidP="0030673B">
      <w:pPr>
        <w:rPr>
          <w:b/>
          <w:i/>
          <w:iCs/>
        </w:rPr>
      </w:pPr>
      <w:bookmarkStart w:id="152" w:name="_Toc54340725"/>
      <w:bookmarkStart w:id="153" w:name="_Toc56088004"/>
      <w:bookmarkStart w:id="154" w:name="_Toc56088253"/>
      <w:bookmarkStart w:id="155" w:name="_Toc65528087"/>
    </w:p>
    <w:p w:rsidR="0030673B" w:rsidRPr="0030673B" w:rsidRDefault="0030673B" w:rsidP="0030673B">
      <w:pPr>
        <w:rPr>
          <w:bCs/>
          <w:i/>
          <w:iCs/>
        </w:rPr>
      </w:pPr>
      <w:r w:rsidRPr="0030673B">
        <w:rPr>
          <w:b/>
          <w:bCs/>
          <w:i/>
          <w:iCs/>
        </w:rPr>
        <w:t>4.9.2</w:t>
      </w:r>
      <w:r w:rsidRPr="0030673B">
        <w:rPr>
          <w:b/>
          <w:bCs/>
          <w:i/>
          <w:iCs/>
        </w:rPr>
        <w:tab/>
        <w:t>Predictive Relevance of the Model</w:t>
      </w:r>
      <w:bookmarkEnd w:id="152"/>
      <w:bookmarkEnd w:id="153"/>
      <w:bookmarkEnd w:id="154"/>
      <w:bookmarkEnd w:id="155"/>
      <w:r w:rsidRPr="0030673B">
        <w:rPr>
          <w:b/>
          <w:bCs/>
          <w:i/>
          <w:iCs/>
        </w:rPr>
        <w:t xml:space="preserve"> </w:t>
      </w:r>
    </w:p>
    <w:p w:rsidR="0030673B" w:rsidRPr="0030673B" w:rsidRDefault="00965610" w:rsidP="00965610">
      <w:pPr>
        <w:ind w:firstLine="720"/>
      </w:pPr>
      <w:r w:rsidRPr="00965610">
        <w:t xml:space="preserve">In addition to evaluating the structural model's quality using R2 values, a blindfolding process that produces cross-validated redundancy and cross-validated commonality can also be used to gauge the model's quality (Geisser, 1975; Stone, 1977). When choosing research models, the PLS-SEM methodology is the most suitable approach to produce trustworthy results. Hair et al. (2011) recommended that cross-validated redundancy be evaluated using blindfolding procedures based on the PLS-SEM estimations. If the cross-validated redundancy (Q2) value of the endogenous construct is larger than zero, then the research model must have predictive relevance. According to Valerie (2019), the formula for calculating Stone-Geisser's test is Q2 = I-SSE/SSO. </w:t>
      </w:r>
      <w:r w:rsidR="0030673B" w:rsidRPr="0030673B">
        <w:t xml:space="preserve">In order to avoid producing incorrect results, Hair et al. (2011) advise against using blindfolding to get Q² if the cases in the dataset are multiple integers of the omission distance d. </w:t>
      </w:r>
    </w:p>
    <w:p w:rsidR="0030673B" w:rsidRPr="0030673B" w:rsidRDefault="0030673B" w:rsidP="00965610">
      <w:pPr>
        <w:ind w:firstLine="720"/>
        <w:rPr>
          <w:b/>
          <w:lang w:val="en-MY"/>
        </w:rPr>
      </w:pPr>
      <w:r w:rsidRPr="0030673B">
        <w:rPr>
          <w:bCs/>
          <w:lang w:val="en-MY"/>
        </w:rPr>
        <w:t xml:space="preserve">Thus, in accordance with Hair et al. (2011)'s recommendation, the cross-redundancy values that are greater than zero validate the predictive usefulness of the current study's model. Specifically, Table 4.14 displays the results of the obtained cross-validated redundancy values for the variables; Perceived Corporate Benefits, Perceived Organization E-Readiness, Digital health tools in patient care, Patient satisfaction in terms of convenience, courtesy, and quality of care Patient's experiences of OPD services and facilities, Accessibility of services, Waiting times and Technology Efficiency were found to be 0.272, 0.477, 0.357, 0.012, 0.532, 0.634, and 0.715 respectively. As a result, it was demonstrated that this specific research model has adequate prediction relevance. </w:t>
      </w:r>
      <w:r w:rsidRPr="0030673B">
        <w:rPr>
          <w:bCs/>
          <w:lang w:val="en-MY"/>
        </w:rPr>
        <w:br/>
      </w:r>
      <w:bookmarkStart w:id="156" w:name="_Toc65501054"/>
      <w:bookmarkStart w:id="157" w:name="_Toc452177828"/>
      <w:bookmarkStart w:id="158" w:name="_Toc452177857"/>
      <w:bookmarkStart w:id="159" w:name="_Toc452178120"/>
      <w:bookmarkStart w:id="160" w:name="_Toc491165520"/>
      <w:bookmarkStart w:id="161" w:name="_Toc505768754"/>
      <w:bookmarkStart w:id="162" w:name="_Toc54314737"/>
      <w:bookmarkStart w:id="163" w:name="_Toc56082774"/>
      <w:bookmarkStart w:id="164" w:name="_Toc56099357"/>
      <w:bookmarkStart w:id="165" w:name="_Toc56100705"/>
      <w:bookmarkStart w:id="166" w:name="_Toc56266943"/>
    </w:p>
    <w:p w:rsidR="0030673B" w:rsidRPr="0030673B" w:rsidRDefault="0030673B" w:rsidP="0030673B">
      <w:pPr>
        <w:rPr>
          <w:b/>
          <w:lang w:val="en-MY"/>
        </w:rPr>
      </w:pPr>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14</w:t>
      </w:r>
      <w:r w:rsidRPr="0030673B">
        <w:fldChar w:fldCharType="end"/>
      </w:r>
      <w:r w:rsidRPr="0030673B">
        <w:rPr>
          <w:b/>
          <w:lang w:val="en-MY"/>
        </w:rPr>
        <w:t xml:space="preserve"> Prediction Relevance of the Model (Q2)</w:t>
      </w:r>
      <w:bookmarkEnd w:id="156"/>
    </w:p>
    <w:p w:rsidR="0030673B" w:rsidRPr="0030673B" w:rsidRDefault="0030673B" w:rsidP="0030673B">
      <w:pPr>
        <w:rPr>
          <w:bCs/>
          <w:i/>
          <w:iCs/>
          <w:lang w:val="en-MY"/>
        </w:rPr>
      </w:pPr>
      <w:r w:rsidRPr="0030673B">
        <w:rPr>
          <w:bCs/>
          <w:i/>
          <w:iCs/>
          <w:lang w:val="en-MY"/>
        </w:rPr>
        <w:t>Prediction Relevance of the Model (Q</w:t>
      </w:r>
      <w:r w:rsidRPr="0030673B">
        <w:rPr>
          <w:bCs/>
          <w:i/>
          <w:iCs/>
          <w:vertAlign w:val="superscript"/>
          <w:lang w:val="en-MY"/>
        </w:rPr>
        <w:t>2</w:t>
      </w:r>
      <w:r w:rsidRPr="0030673B">
        <w:rPr>
          <w:bCs/>
          <w:i/>
          <w:iCs/>
          <w:lang w:val="en-MY"/>
        </w:rPr>
        <w:t>)</w:t>
      </w:r>
      <w:bookmarkEnd w:id="157"/>
      <w:bookmarkEnd w:id="158"/>
      <w:bookmarkEnd w:id="159"/>
      <w:bookmarkEnd w:id="160"/>
      <w:bookmarkEnd w:id="161"/>
      <w:bookmarkEnd w:id="162"/>
      <w:bookmarkEnd w:id="163"/>
      <w:bookmarkEnd w:id="164"/>
      <w:bookmarkEnd w:id="165"/>
      <w:bookmarkEnd w:id="166"/>
    </w:p>
    <w:tbl>
      <w:tblPr>
        <w:tblW w:w="8672" w:type="dxa"/>
        <w:tblInd w:w="92" w:type="dxa"/>
        <w:tblLook w:val="04A0" w:firstRow="1" w:lastRow="0" w:firstColumn="1" w:lastColumn="0" w:noHBand="0" w:noVBand="1"/>
      </w:tblPr>
      <w:tblGrid>
        <w:gridCol w:w="3736"/>
        <w:gridCol w:w="1559"/>
        <w:gridCol w:w="1336"/>
        <w:gridCol w:w="2041"/>
      </w:tblGrid>
      <w:tr w:rsidR="0030673B" w:rsidRPr="0030673B" w:rsidTr="0030673B">
        <w:trPr>
          <w:trHeight w:val="330"/>
        </w:trPr>
        <w:tc>
          <w:tcPr>
            <w:tcW w:w="3736" w:type="dxa"/>
            <w:tcBorders>
              <w:top w:val="nil"/>
              <w:left w:val="nil"/>
              <w:bottom w:val="single" w:sz="8" w:space="0" w:color="auto"/>
              <w:right w:val="single" w:sz="8" w:space="0" w:color="auto"/>
            </w:tcBorders>
            <w:noWrap/>
            <w:vAlign w:val="bottom"/>
            <w:hideMark/>
          </w:tcPr>
          <w:p w:rsidR="0030673B" w:rsidRPr="0030673B" w:rsidRDefault="0030673B" w:rsidP="0030673B">
            <w:pPr>
              <w:rPr>
                <w:b/>
                <w:bCs/>
                <w:lang w:val="en-MY"/>
              </w:rPr>
            </w:pPr>
            <w:r w:rsidRPr="0030673B">
              <w:rPr>
                <w:b/>
                <w:bCs/>
                <w:lang w:val="en-MY"/>
              </w:rPr>
              <w:t> The Study Variables</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b/>
                <w:bCs/>
                <w:lang w:val="en-MY"/>
              </w:rPr>
            </w:pPr>
            <w:r w:rsidRPr="0030673B">
              <w:rPr>
                <w:b/>
                <w:bCs/>
                <w:lang w:val="en-MY"/>
              </w:rPr>
              <w:t>SSO</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b/>
                <w:bCs/>
                <w:lang w:val="en-MY"/>
              </w:rPr>
            </w:pPr>
            <w:r w:rsidRPr="0030673B">
              <w:rPr>
                <w:b/>
                <w:bCs/>
                <w:lang w:val="en-MY"/>
              </w:rPr>
              <w:t>SSE</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b/>
                <w:bCs/>
                <w:lang w:val="en-MY"/>
              </w:rPr>
            </w:pPr>
            <w:r w:rsidRPr="0030673B">
              <w:rPr>
                <w:b/>
                <w:bCs/>
                <w:lang w:val="en-MY"/>
              </w:rPr>
              <w:t>Q² (=1-SSE/SSO)</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lastRenderedPageBreak/>
              <w:t>Digital health tools in patient care:</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1712</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431.34</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0.715</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t>Patient satisfaction in terms of convenience, courtesy, and quality of care</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1396</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778.22</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0.477</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t>Patient's experiences of OPD services and facilities:</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864</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629.24</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0.272</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t>Accessibility of services:</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954</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565.55</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0.357</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t>Waiting times:</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748</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642.02</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0.012</w:t>
            </w:r>
          </w:p>
        </w:tc>
      </w:tr>
      <w:tr w:rsidR="0030673B" w:rsidRPr="0030673B" w:rsidTr="0030673B">
        <w:trPr>
          <w:trHeight w:val="330"/>
        </w:trPr>
        <w:tc>
          <w:tcPr>
            <w:tcW w:w="3736" w:type="dxa"/>
            <w:tcBorders>
              <w:top w:val="nil"/>
              <w:left w:val="nil"/>
              <w:bottom w:val="single" w:sz="8" w:space="0" w:color="auto"/>
              <w:right w:val="single" w:sz="8" w:space="0" w:color="auto"/>
            </w:tcBorders>
            <w:noWrap/>
            <w:hideMark/>
          </w:tcPr>
          <w:p w:rsidR="0030673B" w:rsidRPr="0030673B" w:rsidRDefault="0030673B" w:rsidP="0030673B">
            <w:r w:rsidRPr="0030673B">
              <w:t>Technology Efficiency</w:t>
            </w:r>
          </w:p>
        </w:tc>
        <w:tc>
          <w:tcPr>
            <w:tcW w:w="1559"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954</w:t>
            </w:r>
          </w:p>
        </w:tc>
        <w:tc>
          <w:tcPr>
            <w:tcW w:w="1336"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419.61</w:t>
            </w:r>
          </w:p>
        </w:tc>
        <w:tc>
          <w:tcPr>
            <w:tcW w:w="2041" w:type="dxa"/>
            <w:tcBorders>
              <w:top w:val="nil"/>
              <w:left w:val="nil"/>
              <w:bottom w:val="single" w:sz="8" w:space="0" w:color="auto"/>
              <w:right w:val="single" w:sz="8" w:space="0" w:color="auto"/>
            </w:tcBorders>
            <w:noWrap/>
            <w:vAlign w:val="bottom"/>
            <w:hideMark/>
          </w:tcPr>
          <w:p w:rsidR="0030673B" w:rsidRPr="0030673B" w:rsidRDefault="0030673B" w:rsidP="0030673B">
            <w:pPr>
              <w:rPr>
                <w:lang w:val="en-MY"/>
              </w:rPr>
            </w:pPr>
            <w:r w:rsidRPr="0030673B">
              <w:rPr>
                <w:lang w:val="en-MY"/>
              </w:rPr>
              <w:t>0.532</w:t>
            </w:r>
          </w:p>
        </w:tc>
      </w:tr>
    </w:tbl>
    <w:p w:rsidR="0030673B" w:rsidRPr="0030673B" w:rsidRDefault="0030673B" w:rsidP="0030673B">
      <w:pPr>
        <w:rPr>
          <w:lang w:val="en-US"/>
        </w:rPr>
      </w:pPr>
    </w:p>
    <w:p w:rsidR="0030673B" w:rsidRPr="0030673B" w:rsidRDefault="0030673B" w:rsidP="0030673B">
      <w:pPr>
        <w:rPr>
          <w:b/>
          <w:bCs/>
          <w:i/>
          <w:iCs/>
        </w:rPr>
      </w:pPr>
      <w:r w:rsidRPr="0030673B">
        <w:rPr>
          <w:b/>
          <w:bCs/>
          <w:i/>
          <w:iCs/>
        </w:rPr>
        <w:t>4.9.3</w:t>
      </w:r>
      <w:r w:rsidRPr="0030673B">
        <w:rPr>
          <w:b/>
          <w:bCs/>
          <w:i/>
          <w:iCs/>
        </w:rPr>
        <w:tab/>
        <w:t xml:space="preserve">Effect Size </w:t>
      </w:r>
    </w:p>
    <w:p w:rsidR="0030673B" w:rsidRPr="0030673B" w:rsidRDefault="0030673B" w:rsidP="00965610">
      <w:pPr>
        <w:ind w:firstLine="720"/>
      </w:pPr>
      <w:r w:rsidRPr="0030673B">
        <w:t>Using R-squared, effect size illustrates how much a given independent variable contributes to a given dependent variable (Chin, 2020). It is calculated by comparing the contribution of a certain independent variable to the R-squared of a dependent variable to which the path is associated (Chin, 2020). The formula below is used to compute it:</w:t>
      </w:r>
    </w:p>
    <w:p w:rsidR="0030673B" w:rsidRPr="0030673B" w:rsidRDefault="0030673B" w:rsidP="0030673B">
      <w:r w:rsidRPr="0030673B">
        <w:rPr>
          <w:noProof/>
        </w:rPr>
        <mc:AlternateContent>
          <mc:Choice Requires="wps">
            <w:drawing>
              <wp:anchor distT="0" distB="0" distL="0" distR="0" simplePos="0" relativeHeight="251662336" behindDoc="0" locked="0" layoutInCell="1" allowOverlap="1">
                <wp:simplePos x="0" y="0"/>
                <wp:positionH relativeFrom="column">
                  <wp:posOffset>1990725</wp:posOffset>
                </wp:positionH>
                <wp:positionV relativeFrom="paragraph">
                  <wp:posOffset>167640</wp:posOffset>
                </wp:positionV>
                <wp:extent cx="1628775" cy="635"/>
                <wp:effectExtent l="0" t="0" r="28575" b="37465"/>
                <wp:wrapNone/>
                <wp:docPr id="45883164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8775" cy="635"/>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313A63A4" id="_x0000_t32" coordsize="21600,21600" o:spt="32" o:oned="t" path="m,l21600,21600e" filled="f">
                <v:path arrowok="t" fillok="f" o:connecttype="none"/>
                <o:lock v:ext="edit" shapetype="t"/>
              </v:shapetype>
              <v:shape id="Straight Arrow Connector 9" o:spid="_x0000_s1026" type="#_x0000_t32" style="position:absolute;margin-left:156.75pt;margin-top:13.2pt;width:128.25pt;height:.0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pIyQEAAJQDAAAOAAAAZHJzL2Uyb0RvYy54bWysU8tu2zAQvBfoPxC817Jd2EkFyznYTS9B&#10;GyDpB6z5kIjyBS5j2X/fJeW4r0tRVAeCy50d7o6Gm7uTs+yoEprgO76YzTlTXgRpfN/xr8/37245&#10;wwxegg1edfyskN9t377ZjLFVyzAEK1ViROKxHWPHh5xj2zQoBuUAZyEqT0kdkoNMYeobmWAkdmeb&#10;5Xy+bsaQZExBKEQ63U9Jvq38WiuRv2iNKjPbceot1zXV9VDWZruBtk8QByMubcA/dOHAeLr0SrWH&#10;DOwlmT+onBEpYNB5JoJrgtZGqDoDTbOY/zbN0wBR1VlIHIxXmfD/0YrPx51/TKV1cfJP8SGIb0ii&#10;NGPE9posAcYJdtLJFTj1zk5VyPNVSHXKTNDhYr28vblZcSYot36/KjI30L6WxoT5kwqOlU3HMScw&#10;/ZB3wXv6YSEtqpRwfMA8Fb4WlHutZ2PHP6yWhR7IMtpCpq2Lkqh8X2sxWCPvjbWlAlN/2NnEjlBM&#10;UL9LQ7/AyiV7wGHC1dRkjxRevKxGGRTIj16yfI7kZU+O5qUZpyRnVtEDKLuKzGDs3yBJFesvck8K&#10;F60PQZ4fU5m9RPTrq3wXmxZv/RxX1I/HtP0OAAD//wMAUEsDBBQABgAIAAAAIQDzy3sd3gAAAAkB&#10;AAAPAAAAZHJzL2Rvd25yZXYueG1sTI/BTsMwDIbvSLxDZCQuiCXt6IDSdJqQOHBkm8Q1a0xbaJyq&#10;Sdeyp8c7jaPtT7+/v1jPrhNHHELrSUOyUCCQKm9bqjXsd2/3TyBCNGRN5wk1/GKAdXl9VZjc+ok+&#10;8LiNteAQCrnR0MTY51KGqkFnwsL3SHz78oMzkcehlnYwE4e7TqZKraQzLfGHxvT42mD1sx2dBgxj&#10;lqjNs6v376fp7jM9fU/9Tuvbm3nzAiLiHC8wnPVZHUp2OviRbBCdhmWyzBjVkK4eQDCQPSoudzgv&#10;MpBlIf83KP8AAAD//wMAUEsBAi0AFAAGAAgAAAAhALaDOJL+AAAA4QEAABMAAAAAAAAAAAAAAAAA&#10;AAAAAFtDb250ZW50X1R5cGVzXS54bWxQSwECLQAUAAYACAAAACEAOP0h/9YAAACUAQAACwAAAAAA&#10;AAAAAAAAAAAvAQAAX3JlbHMvLnJlbHNQSwECLQAUAAYACAAAACEAXFAKSMkBAACUAwAADgAAAAAA&#10;AAAAAAAAAAAuAgAAZHJzL2Uyb0RvYy54bWxQSwECLQAUAAYACAAAACEA88t7Hd4AAAAJAQAADwAA&#10;AAAAAAAAAAAAAAAjBAAAZHJzL2Rvd25yZXYueG1sUEsFBgAAAAAEAAQA8wAAAC4FAAAAAA==&#10;">
                <o:lock v:ext="edit" shapetype="f"/>
              </v:shape>
            </w:pict>
          </mc:Fallback>
        </mc:AlternateContent>
      </w:r>
      <w:r w:rsidRPr="0030673B">
        <w:t>Effect Size (f</w:t>
      </w:r>
      <w:r w:rsidRPr="0030673B">
        <w:rPr>
          <w:vertAlign w:val="superscript"/>
        </w:rPr>
        <w:t>2</w:t>
      </w:r>
      <w:r w:rsidRPr="0030673B">
        <w:t xml:space="preserve">) = </w:t>
      </w:r>
      <w:r w:rsidRPr="0030673B">
        <w:rPr>
          <w:i/>
        </w:rPr>
        <w:t>R</w:t>
      </w:r>
      <w:r w:rsidRPr="0030673B">
        <w:rPr>
          <w:vertAlign w:val="superscript"/>
        </w:rPr>
        <w:t xml:space="preserve">2 </w:t>
      </w:r>
      <w:r w:rsidRPr="0030673B">
        <w:t xml:space="preserve">Included – </w:t>
      </w:r>
      <w:r w:rsidRPr="0030673B">
        <w:rPr>
          <w:i/>
        </w:rPr>
        <w:t>R</w:t>
      </w:r>
      <w:r w:rsidRPr="0030673B">
        <w:rPr>
          <w:vertAlign w:val="superscript"/>
        </w:rPr>
        <w:t>2</w:t>
      </w:r>
      <w:r w:rsidRPr="0030673B">
        <w:t xml:space="preserve"> Excluded</w:t>
      </w:r>
    </w:p>
    <w:p w:rsidR="0030673B" w:rsidRPr="0030673B" w:rsidRDefault="0030673B" w:rsidP="0030673B">
      <w:r w:rsidRPr="0030673B">
        <w:t xml:space="preserve">                            1 – </w:t>
      </w:r>
      <w:r w:rsidRPr="0030673B">
        <w:rPr>
          <w:i/>
        </w:rPr>
        <w:t>R</w:t>
      </w:r>
      <w:r w:rsidRPr="0030673B">
        <w:rPr>
          <w:vertAlign w:val="superscript"/>
        </w:rPr>
        <w:t>2</w:t>
      </w:r>
      <w:r w:rsidRPr="0030673B">
        <w:t xml:space="preserve"> Included </w:t>
      </w:r>
    </w:p>
    <w:p w:rsidR="0030673B" w:rsidRPr="0030673B" w:rsidRDefault="0030673B" w:rsidP="0030673B">
      <w:r w:rsidRPr="0030673B">
        <w:t xml:space="preserve">Cohen (1988) reported the effect-size classification, classifying f2 values of.02,.15, and.35 as indicating weak, moderate, and high effects, respectively. Table 4:15 displays these values. </w:t>
      </w:r>
    </w:p>
    <w:p w:rsidR="0030673B" w:rsidRPr="0030673B" w:rsidRDefault="0030673B" w:rsidP="0030673B">
      <w:pPr>
        <w:rPr>
          <w:b/>
          <w:lang w:val="en-MY"/>
        </w:rPr>
      </w:pPr>
      <w:bookmarkStart w:id="167" w:name="_Toc65501055"/>
      <w:bookmarkStart w:id="168" w:name="_Toc54314738"/>
      <w:bookmarkStart w:id="169" w:name="_Toc56100706"/>
      <w:bookmarkStart w:id="170" w:name="_Toc56266944"/>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15</w:t>
      </w:r>
      <w:r w:rsidRPr="0030673B">
        <w:fldChar w:fldCharType="end"/>
      </w:r>
      <w:r w:rsidRPr="0030673B">
        <w:rPr>
          <w:b/>
          <w:lang w:val="en-MY"/>
        </w:rPr>
        <w:t xml:space="preserve"> Effect Size (f2)</w:t>
      </w:r>
      <w:bookmarkEnd w:id="167"/>
    </w:p>
    <w:p w:rsidR="0030673B" w:rsidRPr="0030673B" w:rsidRDefault="0030673B" w:rsidP="0030673B">
      <w:pPr>
        <w:rPr>
          <w:bCs/>
          <w:lang w:val="en-MY"/>
        </w:rPr>
      </w:pPr>
      <w:r w:rsidRPr="0030673B">
        <w:rPr>
          <w:bCs/>
          <w:lang w:val="en-MY"/>
        </w:rPr>
        <w:t>Effect Size (f2)</w:t>
      </w:r>
      <w:bookmarkEnd w:id="168"/>
      <w:bookmarkEnd w:id="169"/>
      <w:bookmarkEnd w:id="170"/>
    </w:p>
    <w:tbl>
      <w:tblPr>
        <w:tblW w:w="8999" w:type="dxa"/>
        <w:tblLook w:val="04A0" w:firstRow="1" w:lastRow="0" w:firstColumn="1" w:lastColumn="0" w:noHBand="0" w:noVBand="1"/>
      </w:tblPr>
      <w:tblGrid>
        <w:gridCol w:w="4668"/>
        <w:gridCol w:w="1831"/>
        <w:gridCol w:w="2500"/>
      </w:tblGrid>
      <w:tr w:rsidR="0030673B" w:rsidRPr="0030673B" w:rsidTr="0030673B">
        <w:trPr>
          <w:trHeight w:val="660"/>
        </w:trPr>
        <w:tc>
          <w:tcPr>
            <w:tcW w:w="4668" w:type="dxa"/>
            <w:tcBorders>
              <w:top w:val="single" w:sz="8" w:space="0" w:color="auto"/>
              <w:left w:val="single" w:sz="8" w:space="0" w:color="auto"/>
              <w:bottom w:val="single" w:sz="8" w:space="0" w:color="auto"/>
              <w:right w:val="single" w:sz="8" w:space="0" w:color="auto"/>
            </w:tcBorders>
            <w:noWrap/>
            <w:vAlign w:val="center"/>
            <w:hideMark/>
          </w:tcPr>
          <w:p w:rsidR="0030673B" w:rsidRPr="0030673B" w:rsidRDefault="0030673B" w:rsidP="0030673B">
            <w:pPr>
              <w:rPr>
                <w:b/>
                <w:bCs/>
                <w:lang w:val="en-MY"/>
              </w:rPr>
            </w:pPr>
            <w:bookmarkStart w:id="171" w:name="_Hlk55489810"/>
            <w:r w:rsidRPr="0030673B">
              <w:rPr>
                <w:b/>
                <w:bCs/>
                <w:lang w:val="en-MY"/>
              </w:rPr>
              <w:t>The study Variables</w:t>
            </w:r>
          </w:p>
        </w:tc>
        <w:tc>
          <w:tcPr>
            <w:tcW w:w="1831" w:type="dxa"/>
            <w:tcBorders>
              <w:top w:val="single" w:sz="8" w:space="0" w:color="auto"/>
              <w:left w:val="nil"/>
              <w:bottom w:val="single" w:sz="8" w:space="0" w:color="auto"/>
              <w:right w:val="single" w:sz="8" w:space="0" w:color="auto"/>
            </w:tcBorders>
            <w:vAlign w:val="center"/>
            <w:hideMark/>
          </w:tcPr>
          <w:p w:rsidR="0030673B" w:rsidRPr="0030673B" w:rsidRDefault="0030673B" w:rsidP="0030673B">
            <w:pPr>
              <w:rPr>
                <w:b/>
                <w:bCs/>
                <w:lang w:val="en-MY"/>
              </w:rPr>
            </w:pPr>
            <w:r w:rsidRPr="0030673B">
              <w:rPr>
                <w:b/>
                <w:bCs/>
                <w:lang w:val="en-MY"/>
              </w:rPr>
              <w:t>F-squared (f2)</w:t>
            </w:r>
          </w:p>
        </w:tc>
        <w:tc>
          <w:tcPr>
            <w:tcW w:w="2500" w:type="dxa"/>
            <w:tcBorders>
              <w:top w:val="single" w:sz="8" w:space="0" w:color="auto"/>
              <w:left w:val="nil"/>
              <w:bottom w:val="single" w:sz="8" w:space="0" w:color="auto"/>
              <w:right w:val="single" w:sz="8" w:space="0" w:color="auto"/>
            </w:tcBorders>
            <w:noWrap/>
            <w:vAlign w:val="center"/>
            <w:hideMark/>
          </w:tcPr>
          <w:p w:rsidR="0030673B" w:rsidRPr="0030673B" w:rsidRDefault="0030673B" w:rsidP="0030673B">
            <w:pPr>
              <w:rPr>
                <w:b/>
                <w:bCs/>
                <w:lang w:val="en-MY"/>
              </w:rPr>
            </w:pPr>
            <w:r w:rsidRPr="0030673B">
              <w:rPr>
                <w:b/>
                <w:bCs/>
                <w:lang w:val="en-MY"/>
              </w:rPr>
              <w:t>Effect</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Patient Education</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0.0714</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Small</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hideMark/>
          </w:tcPr>
          <w:p w:rsidR="0030673B" w:rsidRPr="0030673B" w:rsidRDefault="0030673B" w:rsidP="0030673B">
            <w:r w:rsidRPr="0030673B">
              <w:t>Digital health tools in patient care:</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0.004</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Small</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hideMark/>
          </w:tcPr>
          <w:p w:rsidR="0030673B" w:rsidRPr="0030673B" w:rsidRDefault="0030673B" w:rsidP="0030673B">
            <w:r w:rsidRPr="0030673B">
              <w:t>Patient satisfaction in terms of convenience, courtesy, and quality of care</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0.103</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Moderate</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hideMark/>
          </w:tcPr>
          <w:p w:rsidR="0030673B" w:rsidRPr="0030673B" w:rsidRDefault="0030673B" w:rsidP="0030673B">
            <w:r w:rsidRPr="0030673B">
              <w:t>Patient's experiences of OPD services and facilities:</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0.206</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Moderate</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hideMark/>
          </w:tcPr>
          <w:p w:rsidR="0030673B" w:rsidRPr="0030673B" w:rsidRDefault="0030673B" w:rsidP="0030673B">
            <w:r w:rsidRPr="0030673B">
              <w:lastRenderedPageBreak/>
              <w:t>Accessibility of services:</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0.051</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Small</w:t>
            </w:r>
          </w:p>
        </w:tc>
      </w:tr>
      <w:tr w:rsidR="0030673B" w:rsidRPr="0030673B" w:rsidTr="0030673B">
        <w:trPr>
          <w:trHeight w:val="330"/>
        </w:trPr>
        <w:tc>
          <w:tcPr>
            <w:tcW w:w="4668" w:type="dxa"/>
            <w:tcBorders>
              <w:top w:val="nil"/>
              <w:left w:val="single" w:sz="8" w:space="0" w:color="auto"/>
              <w:bottom w:val="single" w:sz="8" w:space="0" w:color="auto"/>
              <w:right w:val="single" w:sz="8" w:space="0" w:color="auto"/>
            </w:tcBorders>
            <w:noWrap/>
            <w:hideMark/>
          </w:tcPr>
          <w:p w:rsidR="0030673B" w:rsidRPr="0030673B" w:rsidRDefault="0030673B" w:rsidP="0030673B">
            <w:r w:rsidRPr="0030673B">
              <w:t>Waiting times:</w:t>
            </w:r>
          </w:p>
        </w:tc>
        <w:tc>
          <w:tcPr>
            <w:tcW w:w="1831"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0.02</w:t>
            </w:r>
          </w:p>
        </w:tc>
        <w:tc>
          <w:tcPr>
            <w:tcW w:w="2500"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Small</w:t>
            </w:r>
          </w:p>
        </w:tc>
      </w:tr>
      <w:tr w:rsidR="0030673B" w:rsidRPr="0030673B" w:rsidTr="0030673B">
        <w:trPr>
          <w:trHeight w:val="360"/>
        </w:trPr>
        <w:tc>
          <w:tcPr>
            <w:tcW w:w="4668" w:type="dxa"/>
            <w:tcBorders>
              <w:top w:val="nil"/>
              <w:left w:val="single" w:sz="8" w:space="0" w:color="auto"/>
              <w:bottom w:val="single" w:sz="8" w:space="0" w:color="auto"/>
              <w:right w:val="single" w:sz="8" w:space="0" w:color="auto"/>
            </w:tcBorders>
            <w:hideMark/>
          </w:tcPr>
          <w:p w:rsidR="0030673B" w:rsidRPr="0030673B" w:rsidRDefault="0030673B" w:rsidP="0030673B">
            <w:r w:rsidRPr="0030673B">
              <w:t>Technology Efficiency</w:t>
            </w:r>
          </w:p>
        </w:tc>
        <w:tc>
          <w:tcPr>
            <w:tcW w:w="1831" w:type="dxa"/>
            <w:tcBorders>
              <w:top w:val="nil"/>
              <w:left w:val="nil"/>
              <w:bottom w:val="single" w:sz="8" w:space="0" w:color="auto"/>
              <w:right w:val="single" w:sz="8" w:space="0" w:color="auto"/>
            </w:tcBorders>
            <w:noWrap/>
            <w:vAlign w:val="center"/>
            <w:hideMark/>
          </w:tcPr>
          <w:p w:rsidR="0030673B" w:rsidRPr="0030673B" w:rsidRDefault="0030673B" w:rsidP="0030673B">
            <w:pPr>
              <w:rPr>
                <w:lang w:val="en-MY"/>
              </w:rPr>
            </w:pPr>
            <w:r w:rsidRPr="0030673B">
              <w:rPr>
                <w:lang w:val="en-MY"/>
              </w:rPr>
              <w:t>0.422</w:t>
            </w:r>
          </w:p>
        </w:tc>
        <w:tc>
          <w:tcPr>
            <w:tcW w:w="2500" w:type="dxa"/>
            <w:tcBorders>
              <w:top w:val="nil"/>
              <w:left w:val="nil"/>
              <w:bottom w:val="single" w:sz="8" w:space="0" w:color="auto"/>
              <w:right w:val="single" w:sz="8" w:space="0" w:color="auto"/>
            </w:tcBorders>
            <w:vAlign w:val="center"/>
            <w:hideMark/>
          </w:tcPr>
          <w:p w:rsidR="0030673B" w:rsidRPr="0030673B" w:rsidRDefault="0030673B" w:rsidP="0030673B">
            <w:pPr>
              <w:rPr>
                <w:lang w:val="en-MY"/>
              </w:rPr>
            </w:pPr>
            <w:r w:rsidRPr="0030673B">
              <w:rPr>
                <w:lang w:val="en-MY"/>
              </w:rPr>
              <w:t>Strong</w:t>
            </w:r>
          </w:p>
        </w:tc>
      </w:tr>
      <w:bookmarkEnd w:id="171"/>
    </w:tbl>
    <w:p w:rsidR="0030673B" w:rsidRPr="0030673B" w:rsidRDefault="0030673B" w:rsidP="0030673B"/>
    <w:p w:rsidR="0030673B" w:rsidRPr="0030673B" w:rsidRDefault="0030673B" w:rsidP="00965610">
      <w:pPr>
        <w:ind w:firstLine="720"/>
      </w:pPr>
      <w:r w:rsidRPr="0030673B">
        <w:t xml:space="preserve">Digital health tools in patient care, Patient satisfaction in terms of convenience, courtesy, and quality of care Patient's experiences of OPD services and facilities, Accessibility of services, </w:t>
      </w:r>
      <w:proofErr w:type="gramStart"/>
      <w:r w:rsidRPr="0030673B">
        <w:t>Waiting</w:t>
      </w:r>
      <w:proofErr w:type="gramEnd"/>
      <w:r w:rsidRPr="0030673B">
        <w:t xml:space="preserve"> times and Technology Efficiency, the corresponding effect sizes are.0714,.004,.103,.206,.051,.020, and.422, that is, small, small, moderate, small, small, and strong. As a result, the effect sizes of foreign latent constructs on endogenous latent constructs are shown in.</w:t>
      </w:r>
    </w:p>
    <w:p w:rsidR="0030673B" w:rsidRPr="0030673B" w:rsidRDefault="0030673B" w:rsidP="0030673B">
      <w:pPr>
        <w:rPr>
          <w:b/>
          <w:bCs/>
          <w:i/>
          <w:iCs/>
        </w:rPr>
      </w:pPr>
      <w:r w:rsidRPr="0030673B">
        <w:rPr>
          <w:b/>
          <w:bCs/>
          <w:i/>
          <w:iCs/>
        </w:rPr>
        <w:t>4.9.4</w:t>
      </w:r>
      <w:r w:rsidRPr="0030673B">
        <w:rPr>
          <w:b/>
          <w:bCs/>
          <w:i/>
          <w:iCs/>
        </w:rPr>
        <w:tab/>
        <w:t xml:space="preserve">R Square with Moderator (R²) </w:t>
      </w:r>
    </w:p>
    <w:p w:rsidR="0030673B" w:rsidRPr="0030673B" w:rsidRDefault="0030673B" w:rsidP="00965610">
      <w:pPr>
        <w:ind w:firstLine="720"/>
      </w:pPr>
      <w:r w:rsidRPr="0030673B">
        <w:t>Regarding the evaluation of the structural model using PLS-SEM, Hair et al. (2011) contended that the R2 values, path coefficients' level, and significance are the initial criteria for evaluating the structural model of PLS-SEM. In actuality, the researcher conducted the evaluation twice: once without the moderator variable and once using Patient Education as the moderator variable. To clarify the endogenous latent variable utilizing the exogenous latent variables while both omitting and incorporating the moderator variable is, in essence, the primary goal of the prediction-oriented PLS-SEM approach. R2 values for endogenous latent variables in the structural model are generally considered to be considerable (.75), moderate (.50), and weak (.25) (Hair et al., 2018).</w:t>
      </w:r>
    </w:p>
    <w:p w:rsidR="0030673B" w:rsidRPr="0030673B" w:rsidRDefault="0030673B" w:rsidP="00965610">
      <w:pPr>
        <w:ind w:firstLine="720"/>
      </w:pPr>
      <w:r w:rsidRPr="0030673B">
        <w:t xml:space="preserve">The effectiveness of the structural model can be evaluated using the R2 value as per the argument presented here. It shows how endogenous variables’ fluctuation can be amplified through the application of exogenous variables. First, the R2 containing the moderator is 52.2% which is higher than the R2 excluding the moderator, variable, 47.9% As depicted in Figure 4.4 This indicates the level of fit of the study’s model in capturing the data by including the moderator variable. Moreover, it demonstrates that the model with the moderator variable better fits the data and has less measurement error than the model without it. Additionally, when the moderator variable is considered in the analysis, the value of R2 is statistically significant; however, if the moderator variable is not considered, the R2 value is relatively </w:t>
      </w:r>
      <w:proofErr w:type="gramStart"/>
      <w:r w:rsidRPr="0030673B">
        <w:t>small..</w:t>
      </w:r>
      <w:proofErr w:type="gramEnd"/>
      <w:r w:rsidRPr="0030673B">
        <w:t xml:space="preserve"> </w:t>
      </w:r>
    </w:p>
    <w:p w:rsidR="0030673B" w:rsidRPr="0030673B" w:rsidRDefault="0030673B" w:rsidP="0030673B">
      <w:pPr>
        <w:rPr>
          <w:bCs/>
          <w:i/>
          <w:iCs/>
        </w:rPr>
      </w:pPr>
      <w:bookmarkStart w:id="172" w:name="_Toc65528088"/>
      <w:r w:rsidRPr="0030673B">
        <w:rPr>
          <w:b/>
          <w:bCs/>
          <w:i/>
          <w:iCs/>
        </w:rPr>
        <w:t>4.9.3</w:t>
      </w:r>
      <w:r w:rsidRPr="0030673B">
        <w:rPr>
          <w:b/>
          <w:bCs/>
          <w:i/>
          <w:iCs/>
        </w:rPr>
        <w:tab/>
        <w:t>Estimation of Beta Path Coefficient</w:t>
      </w:r>
      <w:bookmarkEnd w:id="172"/>
      <w:r w:rsidRPr="0030673B">
        <w:rPr>
          <w:b/>
          <w:bCs/>
          <w:i/>
          <w:iCs/>
        </w:rPr>
        <w:t xml:space="preserve"> </w:t>
      </w:r>
    </w:p>
    <w:p w:rsidR="0030673B" w:rsidRPr="0030673B" w:rsidRDefault="0030673B" w:rsidP="00965610">
      <w:pPr>
        <w:ind w:firstLine="720"/>
      </w:pPr>
      <w:r w:rsidRPr="0030673B">
        <w:t xml:space="preserve">Predictive quality of inner model is evaluated to reflect data and examine the proposed correlations between constructs according to the standardized path coefficients (Henseler et al., 2009). The application of the research hypotheses was assessed based on path coefficients: beta (β) of PLS-SEM. Thus, the Hair et al.’s (2019) explanation where β means the anticipated alteration of dependent on the independent construction variables per change indicates. According to Henseler et al. (2019) there are different important aspects to note can be summarized as follows: The more the overall impact on the endogenous latent construct, the </w:t>
      </w:r>
      <w:r w:rsidRPr="0030673B">
        <w:lastRenderedPageBreak/>
        <w:t>greater the value of β. The PLS algorithm provides the standardized coefficients within -</w:t>
      </w:r>
      <w:proofErr w:type="spellStart"/>
      <w:r w:rsidRPr="0030673B">
        <w:t>ve</w:t>
      </w:r>
      <w:proofErr w:type="spellEnd"/>
      <w:r w:rsidRPr="0030673B">
        <w:t xml:space="preserve"> 1 to +</w:t>
      </w:r>
      <w:proofErr w:type="spellStart"/>
      <w:r w:rsidRPr="0030673B">
        <w:t>ve</w:t>
      </w:r>
      <w:proofErr w:type="spellEnd"/>
      <w:r w:rsidRPr="0030673B">
        <w:t xml:space="preserve"> 1 based on Hair et al. (2019) the study, where path coefficients closer to +</w:t>
      </w:r>
      <w:proofErr w:type="spellStart"/>
      <w:r w:rsidRPr="0030673B">
        <w:t>ve</w:t>
      </w:r>
      <w:proofErr w:type="spellEnd"/>
      <w:r w:rsidRPr="0030673B">
        <w:t xml:space="preserve"> 1 exhibits a strong positive relation where each unit of independent construct is positively related to dependent construct (and vice versa for negative value</w:t>
      </w:r>
      <w:proofErr w:type="gramStart"/>
      <w:r w:rsidRPr="0030673B">
        <w:t>)..</w:t>
      </w:r>
      <w:proofErr w:type="gramEnd"/>
      <w:r w:rsidRPr="0030673B">
        <w:t xml:space="preserve"> </w:t>
      </w:r>
    </w:p>
    <w:p w:rsidR="0030673B" w:rsidRPr="0030673B" w:rsidRDefault="0030673B" w:rsidP="00965610">
      <w:pPr>
        <w:ind w:firstLine="720"/>
      </w:pPr>
      <w:r w:rsidRPr="0030673B">
        <w:t xml:space="preserve">It is crucial to assess the regression beta coefficients after determining the F-value and R2. The importance of the t-value is linked to the beta coefficients, which can be either positive or negative. </w:t>
      </w:r>
      <w:r w:rsidR="00965610" w:rsidRPr="00965610">
        <w:t>The beta coefficient is the amount that the outcome variable varies for each unit change in the predictor variable. The t-test establishes if the difference between the beta coefficient and zero is significant. If the beta coefficient is not statistically significant, which is the same as a non-significant t-value, the variable does not significantly predict the outcome. A negative beta coefficient indicates that for every unit increase in the predictor variable, the outcome variable will decrease by the beta coefficient value</w:t>
      </w:r>
      <w:r w:rsidRPr="0030673B">
        <w:t xml:space="preserve">. </w:t>
      </w:r>
    </w:p>
    <w:p w:rsidR="0030673B" w:rsidRPr="0030673B" w:rsidRDefault="0030673B" w:rsidP="0030673B">
      <w:r w:rsidRPr="0030673B">
        <w:t xml:space="preserve"> </w:t>
      </w:r>
      <w:r w:rsidR="00965610">
        <w:tab/>
      </w:r>
      <w:r w:rsidRPr="0030673B">
        <w:t xml:space="preserve">4.4 shows the results of various path coefficients that have negative values when structural assessments of the path coefficient are performed using </w:t>
      </w:r>
      <w:proofErr w:type="spellStart"/>
      <w:r w:rsidRPr="0030673B">
        <w:t>SmartPLS</w:t>
      </w:r>
      <w:proofErr w:type="spellEnd"/>
      <w:r w:rsidRPr="0030673B">
        <w:t xml:space="preserve">. The chart shows that Hypothesis 3 (H3) has the lowest link between the dependent and independent constructs, with a negative β value. According to the H3 finding, the suggested correlation between registration/administrative services and patient satisfaction is β = -0.144, which does not suggest a particularly steady path coefficient. Without examining effect size measurements and P values, the route coefficient stated is too low to be interpreted as confirming the proposed effects (Cohen's, 1992). All path coefficients are calculated using the f-squared effect size coefficients. </w:t>
      </w:r>
      <w:r w:rsidR="00965610" w:rsidRPr="00965610">
        <w:t xml:space="preserve">The absolute values of the individual contributions of the relevant predictor latent variables are used to compute the R-square coefficients of the criteria latent variable in each latent variable block (Hair et al. 2019; Cohen, 2020). </w:t>
      </w:r>
      <w:r w:rsidRPr="0030673B">
        <w:t xml:space="preserve">It is possible to determine whether the impacts suggested by path coefficients are small, medium, or big by </w:t>
      </w:r>
      <w:proofErr w:type="spellStart"/>
      <w:r w:rsidRPr="0030673B">
        <w:t>analyzing</w:t>
      </w:r>
      <w:proofErr w:type="spellEnd"/>
      <w:r w:rsidRPr="0030673B">
        <w:t xml:space="preserve"> the effect sizes, as was discussed in the preceding section. According to Cohen (1988), values below 0.02 indicate effects that are too weak to be deemed significant from a practical standpoint. The typically advised values are 0.02, 0.15, and 0.35. The impact size test for this study on perceived social benefit is 0.02, which suggests a tiny but not weak effect size, as shown in table 4.15. The dependent variable of patient satisfaction is sufficiently and significantly impacted by the f-squared effect size, notwithstanding its tiny magnitude.</w:t>
      </w:r>
    </w:p>
    <w:p w:rsidR="0030673B" w:rsidRPr="0030673B" w:rsidRDefault="0030673B" w:rsidP="00965610">
      <w:pPr>
        <w:ind w:firstLine="720"/>
        <w:rPr>
          <w:lang w:val="en-US"/>
        </w:rPr>
      </w:pPr>
      <w:r w:rsidRPr="0030673B">
        <w:t xml:space="preserve">The bootstrapping process is used to assess the significance of the hypothesis, so in addition to the f-squared effect size, which shows the standard regression of the hypothesized relationships, the β value must be confirmed for its significance level using the bootstrapping to </w:t>
      </w:r>
      <w:proofErr w:type="spellStart"/>
      <w:r w:rsidRPr="0030673B">
        <w:t>evuse</w:t>
      </w:r>
      <w:proofErr w:type="spellEnd"/>
      <w:r w:rsidRPr="0030673B">
        <w:t xml:space="preserve"> the T-statistics value of two-tailed test known as </w:t>
      </w:r>
      <w:proofErr w:type="spellStart"/>
      <w:r w:rsidRPr="0030673B">
        <w:t>aluation</w:t>
      </w:r>
      <w:proofErr w:type="spellEnd"/>
      <w:r w:rsidRPr="0030673B">
        <w:t xml:space="preserve"> (Hussain et al., 2018). After the significance test had been conducted it is important to make decision based on the hypothesis that had been formulated (Hair et al., 2019). The part of bootstrapping to conclude the study analysis and the deciding factor to prove the significance of the hypothesis is further discussed in the following </w:t>
      </w:r>
      <w:proofErr w:type="gramStart"/>
      <w:r w:rsidRPr="0030673B">
        <w:t>section..</w:t>
      </w:r>
      <w:proofErr w:type="gramEnd"/>
      <w:r w:rsidRPr="0030673B">
        <w:t xml:space="preserve"> </w:t>
      </w:r>
    </w:p>
    <w:p w:rsidR="0030673B" w:rsidRPr="0030673B" w:rsidRDefault="0030673B" w:rsidP="00965610">
      <w:pPr>
        <w:ind w:firstLine="720"/>
        <w:rPr>
          <w:bCs/>
        </w:rPr>
      </w:pPr>
      <w:bookmarkStart w:id="173" w:name="_Toc65528089"/>
      <w:r w:rsidRPr="0030673B">
        <w:rPr>
          <w:b/>
          <w:bCs/>
        </w:rPr>
        <w:t>4.10</w:t>
      </w:r>
      <w:r w:rsidRPr="0030673B">
        <w:rPr>
          <w:b/>
          <w:bCs/>
        </w:rPr>
        <w:tab/>
        <w:t>HYPOTHESES TESTING USING BOOTSTRAPPING</w:t>
      </w:r>
      <w:bookmarkEnd w:id="173"/>
    </w:p>
    <w:p w:rsidR="0030673B" w:rsidRPr="0030673B" w:rsidRDefault="0030673B" w:rsidP="00965610">
      <w:pPr>
        <w:ind w:firstLine="720"/>
      </w:pPr>
      <w:r w:rsidRPr="0030673B">
        <w:lastRenderedPageBreak/>
        <w:t>Confirming the proposed links is the final stage of the PLS-SEM in the structural model. The researcher applied PLS algorithm and bootstrapping with Smart PLS 3.0 to realise this. Overall model fitness is evaluated using bootstrap test (Hair, Hult, &amp; Henseler, 2015). Hair et al (2011) did prove that the prior hypothesis should be rejected where routes are non-significant or possess. indications that contradict the direction conjectured, despite the fact that path coefficients are crucial in PLS analysis. However, the projected causal relationship is empirically supported when there are significant routes that show the expected direction. The authors added that a bootstrapping process can be used to determine the importance of each path coefficient, just like it can be done with the weights and loadings of the indicators. The loadings, path coefficient, and R2 values of the items are displayed in the preceding Figure 4.4.</w:t>
      </w:r>
    </w:p>
    <w:p w:rsidR="0030673B" w:rsidRPr="0030673B" w:rsidRDefault="0030673B" w:rsidP="00965610">
      <w:pPr>
        <w:ind w:firstLine="720"/>
      </w:pPr>
      <w:r w:rsidRPr="0030673B">
        <w:t xml:space="preserve">The smallest bootstrap sample size of 450 is required when using the bootstrapping method to evaluate path coefficients, and the number of cases should match the number of observations in the original sample (Lorenzo-Romero, 2014; Henseler et al., 2015; </w:t>
      </w:r>
      <w:proofErr w:type="spellStart"/>
      <w:r w:rsidRPr="0030673B">
        <w:t>Monecke</w:t>
      </w:r>
      <w:proofErr w:type="spellEnd"/>
      <w:r w:rsidRPr="0030673B">
        <w:t xml:space="preserve"> &amp; Leisch, 2019; Rubel &amp; Kee, 2014; </w:t>
      </w:r>
      <w:proofErr w:type="spellStart"/>
      <w:r w:rsidRPr="0030673B">
        <w:t>Fassott</w:t>
      </w:r>
      <w:proofErr w:type="spellEnd"/>
      <w:r w:rsidRPr="0030673B">
        <w:t xml:space="preserve"> et al., 2016).</w:t>
      </w:r>
    </w:p>
    <w:p w:rsidR="0030673B" w:rsidRPr="0030673B" w:rsidRDefault="0030673B" w:rsidP="00965610">
      <w:pPr>
        <w:ind w:firstLine="720"/>
      </w:pPr>
      <w:r w:rsidRPr="0030673B">
        <w:t xml:space="preserve">Additionally, the t-value for a two-tailed test is the analysis of the standard deviation differences. At 10% significance, the crucial t-values seem to be 1.65; at 5% significance, they are 1.96; and at 1% significance, they are 2.58. According to </w:t>
      </w:r>
      <w:proofErr w:type="spellStart"/>
      <w:r w:rsidRPr="0030673B">
        <w:t>Fassott</w:t>
      </w:r>
      <w:proofErr w:type="spellEnd"/>
      <w:r w:rsidRPr="0030673B">
        <w:t xml:space="preserve"> et al. (2016), the t-value quantifies the magnitude of the difference in relation to the variation in the sample data. The cut-off point for this study is 1.96; if it is above that, the hypothesis is supported; if it is below that, it is rejected. Furthermore, the analysis's probability significant p-value, which is less than 0.5 indicates that the hypothesis is supported and greater than 0.5 indicates that the hypothesis is rejected, suggests that the null hypothesis is valid. In keeping with this, the researcher created 450 </w:t>
      </w:r>
      <w:proofErr w:type="spellStart"/>
      <w:r w:rsidRPr="0030673B">
        <w:t>resamplings</w:t>
      </w:r>
      <w:proofErr w:type="spellEnd"/>
      <w:r w:rsidRPr="0030673B">
        <w:t>, using a replacement number from the bootstrap instances matching the initial sample size of 520. T-statistics and standard errors will follow from this. The path coefficient, t-values with p-value, and the results of bootstrapping, where the following predicted associations were investigated, are shown in</w:t>
      </w:r>
    </w:p>
    <w:p w:rsidR="0030673B" w:rsidRPr="0030673B" w:rsidRDefault="0030673B" w:rsidP="0030673B">
      <w:r w:rsidRPr="0030673B">
        <w:rPr>
          <w:b/>
          <w:bCs/>
        </w:rPr>
        <w:t>Hypothesis 1:</w:t>
      </w:r>
      <w:r w:rsidRPr="0030673B">
        <w:t xml:space="preserve"> There is a significant relationship between doctor services and patient satisfaction shows Positive relationship (t = 1.04, p = 0.01), and hence, the hypothesis was supported. </w:t>
      </w:r>
    </w:p>
    <w:p w:rsidR="0030673B" w:rsidRPr="0030673B" w:rsidRDefault="0030673B" w:rsidP="0030673B">
      <w:r w:rsidRPr="0030673B">
        <w:rPr>
          <w:b/>
          <w:bCs/>
        </w:rPr>
        <w:t>Hypothesis 2:</w:t>
      </w:r>
      <w:r w:rsidRPr="0030673B">
        <w:t xml:space="preserve"> There is a significant relationship between nurses/staff services and patient satisfaction. shows a positive relationship (t = 3.90, p=0.21), and hence, the hypothesis was supported.</w:t>
      </w:r>
    </w:p>
    <w:p w:rsidR="0030673B" w:rsidRPr="0030673B" w:rsidRDefault="0030673B" w:rsidP="0030673B">
      <w:r w:rsidRPr="0030673B">
        <w:rPr>
          <w:b/>
          <w:bCs/>
        </w:rPr>
        <w:t>Hypothesis 3:</w:t>
      </w:r>
      <w:r w:rsidRPr="0030673B">
        <w:t xml:space="preserve"> There is a significant relationship between registration/administrative services and patient satisfaction. shows a negative relationship (t = 0.17, p= 0.81), and hence, the hypothesis was not supported.</w:t>
      </w:r>
    </w:p>
    <w:p w:rsidR="0030673B" w:rsidRPr="0030673B" w:rsidRDefault="0030673B" w:rsidP="0030673B">
      <w:r w:rsidRPr="0030673B">
        <w:rPr>
          <w:b/>
          <w:bCs/>
        </w:rPr>
        <w:t>Hypothesis 4:</w:t>
      </w:r>
      <w:r w:rsidRPr="0030673B">
        <w:t xml:space="preserve"> The effective working schedules and procedures of OPD's services and facilities increase patient satisfaction. shows a negative relationship (t = 0.34, p=0.76), and hence, the hypothesis was not supported.</w:t>
      </w:r>
    </w:p>
    <w:p w:rsidR="0030673B" w:rsidRPr="0030673B" w:rsidRDefault="0030673B" w:rsidP="0030673B">
      <w:r w:rsidRPr="0030673B">
        <w:rPr>
          <w:b/>
          <w:bCs/>
        </w:rPr>
        <w:lastRenderedPageBreak/>
        <w:t>Hypothesis 5:</w:t>
      </w:r>
      <w:r w:rsidRPr="0030673B">
        <w:t xml:space="preserve"> </w:t>
      </w:r>
      <w:bookmarkStart w:id="174" w:name="_Hlk46266927"/>
      <w:r w:rsidRPr="0030673B">
        <w:t>Technology efficiency moderates the relationship between clinical facilities and patient satisfaction positive relationship (t = 4.49, p=0.02), and hence, the hypothesis was supported.</w:t>
      </w:r>
      <w:bookmarkEnd w:id="174"/>
    </w:p>
    <w:p w:rsidR="0030673B" w:rsidRPr="0030673B" w:rsidRDefault="0030673B" w:rsidP="0030673B">
      <w:r w:rsidRPr="0030673B">
        <w:rPr>
          <w:b/>
          <w:bCs/>
        </w:rPr>
        <w:t>Hypothesis 6:</w:t>
      </w:r>
      <w:r w:rsidRPr="0030673B">
        <w:t xml:space="preserve"> There is a significant relationship between efficient HIT integration and patient satisfaction shows positive relationship (t = 8.26, p=0.04), and hence, the hypothesis was supported.</w:t>
      </w:r>
    </w:p>
    <w:p w:rsidR="0030673B" w:rsidRPr="0030673B" w:rsidRDefault="0030673B" w:rsidP="0030673B">
      <w:pPr>
        <w:rPr>
          <w:b/>
          <w:lang w:val="en-MY"/>
        </w:rPr>
      </w:pPr>
      <w:bookmarkStart w:id="175" w:name="_Toc65501056"/>
      <w:bookmarkStart w:id="176" w:name="_Toc54314739"/>
      <w:bookmarkStart w:id="177" w:name="_Toc56082775"/>
      <w:bookmarkStart w:id="178" w:name="_Toc56099358"/>
      <w:bookmarkStart w:id="179" w:name="_Toc56100707"/>
      <w:bookmarkStart w:id="180" w:name="_Toc56266945"/>
      <w:r w:rsidRPr="0030673B">
        <w:rPr>
          <w:b/>
          <w:lang w:val="en-MY"/>
        </w:rPr>
        <w:t xml:space="preserve">Table 4. </w:t>
      </w:r>
      <w:r w:rsidRPr="0030673B">
        <w:rPr>
          <w:bCs/>
          <w:lang w:val="en-MY"/>
        </w:rPr>
        <w:fldChar w:fldCharType="begin"/>
      </w:r>
      <w:r w:rsidRPr="0030673B">
        <w:rPr>
          <w:b/>
          <w:lang w:val="en-MY"/>
        </w:rPr>
        <w:instrText xml:space="preserve"> SEQ Table_4. \* ARABIC </w:instrText>
      </w:r>
      <w:r w:rsidRPr="0030673B">
        <w:rPr>
          <w:bCs/>
          <w:lang w:val="en-MY"/>
        </w:rPr>
        <w:fldChar w:fldCharType="separate"/>
      </w:r>
      <w:r w:rsidRPr="0030673B">
        <w:rPr>
          <w:b/>
          <w:lang w:val="en-MY"/>
        </w:rPr>
        <w:t>16</w:t>
      </w:r>
      <w:r w:rsidRPr="0030673B">
        <w:fldChar w:fldCharType="end"/>
      </w:r>
      <w:r w:rsidRPr="0030673B">
        <w:rPr>
          <w:b/>
          <w:lang w:val="en-MY"/>
        </w:rPr>
        <w:t xml:space="preserve"> Results of Hypothesis Testing</w:t>
      </w:r>
      <w:bookmarkEnd w:id="175"/>
    </w:p>
    <w:p w:rsidR="0030673B" w:rsidRPr="0030673B" w:rsidRDefault="0030673B" w:rsidP="0030673B">
      <w:pPr>
        <w:rPr>
          <w:bCs/>
          <w:i/>
          <w:iCs/>
          <w:lang w:val="en-MY"/>
        </w:rPr>
      </w:pPr>
      <w:r w:rsidRPr="0030673B">
        <w:rPr>
          <w:bCs/>
          <w:lang w:val="en-MY"/>
        </w:rPr>
        <w:t xml:space="preserve"> </w:t>
      </w:r>
      <w:r w:rsidRPr="0030673B">
        <w:rPr>
          <w:bCs/>
          <w:i/>
          <w:iCs/>
          <w:lang w:val="en-MY"/>
        </w:rPr>
        <w:t>Results of Hypothesis Testing</w:t>
      </w:r>
      <w:bookmarkEnd w:id="176"/>
      <w:bookmarkEnd w:id="177"/>
      <w:bookmarkEnd w:id="178"/>
      <w:bookmarkEnd w:id="179"/>
      <w:bookmarkEnd w:id="1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4918"/>
        <w:gridCol w:w="1125"/>
        <w:gridCol w:w="1128"/>
        <w:gridCol w:w="1389"/>
        <w:gridCol w:w="222"/>
      </w:tblGrid>
      <w:tr w:rsidR="0030673B" w:rsidRPr="0030673B" w:rsidTr="0030673B">
        <w:trPr>
          <w:gridAfter w:val="1"/>
          <w:trHeight w:val="576"/>
        </w:trPr>
        <w:tc>
          <w:tcPr>
            <w:tcW w:w="819" w:type="pct"/>
            <w:vMerge w:val="restar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bookmarkStart w:id="181" w:name="_Hlk54313942"/>
            <w:bookmarkStart w:id="182" w:name="_Hlk45294285"/>
            <w:r w:rsidRPr="0030673B">
              <w:rPr>
                <w:b/>
                <w:bCs/>
                <w:lang w:val="ms-MY"/>
              </w:rPr>
              <w:t>Hypothesis</w:t>
            </w:r>
          </w:p>
        </w:tc>
        <w:tc>
          <w:tcPr>
            <w:tcW w:w="2402" w:type="pct"/>
            <w:vMerge w:val="restar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 xml:space="preserve">Relationship </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r w:rsidRPr="0030673B">
              <w:rPr>
                <w:b/>
                <w:bCs/>
              </w:rPr>
              <w:t>t-value</w:t>
            </w:r>
          </w:p>
        </w:tc>
        <w:tc>
          <w:tcPr>
            <w:tcW w:w="551" w:type="pct"/>
            <w:vMerge w:val="restar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p-value</w:t>
            </w:r>
          </w:p>
        </w:tc>
        <w:tc>
          <w:tcPr>
            <w:tcW w:w="678" w:type="pct"/>
            <w:vMerge w:val="restar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Decision</w:t>
            </w:r>
          </w:p>
        </w:tc>
        <w:bookmarkEnd w:id="181"/>
      </w:tr>
      <w:tr w:rsidR="0030673B" w:rsidRPr="0030673B" w:rsidTr="0030673B">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pPr>
              <w:rPr>
                <w:b/>
                <w:bC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0673B" w:rsidRPr="0030673B" w:rsidRDefault="0030673B" w:rsidP="0030673B">
            <w:pPr>
              <w:rPr>
                <w:b/>
                <w:bC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w:t>
            </w:r>
          </w:p>
          <w:p w:rsidR="0030673B" w:rsidRPr="0030673B" w:rsidRDefault="0030673B" w:rsidP="0030673B">
            <w:r w:rsidRPr="0030673B">
              <w:t>1</w:t>
            </w:r>
          </w:p>
        </w:tc>
        <w:tc>
          <w:tcPr>
            <w:tcW w:w="2402" w:type="pc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r w:rsidRPr="0030673B">
              <w:t>There is a significant relationship between doctor services and patient satisfaction.</w:t>
            </w:r>
          </w:p>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1.04</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0.01</w:t>
            </w:r>
          </w:p>
        </w:tc>
        <w:tc>
          <w:tcPr>
            <w:tcW w:w="678" w:type="pct"/>
            <w:tcBorders>
              <w:top w:val="single" w:sz="4" w:space="0" w:color="auto"/>
              <w:left w:val="single" w:sz="4" w:space="0" w:color="auto"/>
              <w:bottom w:val="single" w:sz="4" w:space="0" w:color="auto"/>
              <w:right w:val="single" w:sz="4" w:space="0" w:color="auto"/>
            </w:tcBorders>
            <w:noWrap/>
            <w:vAlign w:val="center"/>
          </w:tcPr>
          <w:p w:rsidR="0030673B" w:rsidRPr="0030673B" w:rsidRDefault="0030673B" w:rsidP="0030673B"/>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w:t>
            </w:r>
          </w:p>
          <w:p w:rsidR="0030673B" w:rsidRPr="0030673B" w:rsidRDefault="0030673B" w:rsidP="0030673B">
            <w:r w:rsidRPr="0030673B">
              <w:t>2</w:t>
            </w:r>
          </w:p>
        </w:tc>
        <w:tc>
          <w:tcPr>
            <w:tcW w:w="2402" w:type="pc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r w:rsidRPr="0030673B">
              <w:t>There is a significant relationship between nurses/staff services and patient satisfaction.</w:t>
            </w:r>
          </w:p>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3.90</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0.21</w:t>
            </w:r>
          </w:p>
        </w:tc>
        <w:tc>
          <w:tcPr>
            <w:tcW w:w="678"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w:t>
            </w:r>
          </w:p>
          <w:p w:rsidR="0030673B" w:rsidRPr="0030673B" w:rsidRDefault="0030673B" w:rsidP="0030673B">
            <w:r w:rsidRPr="0030673B">
              <w:t>3</w:t>
            </w:r>
          </w:p>
        </w:tc>
        <w:tc>
          <w:tcPr>
            <w:tcW w:w="2402" w:type="pc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bookmarkStart w:id="183" w:name="_Hlk65438850"/>
            <w:r w:rsidRPr="0030673B">
              <w:t>There is a significant relationship between registration/administrative services and patient satisfaction.</w:t>
            </w:r>
          </w:p>
          <w:p w:rsidR="0030673B" w:rsidRPr="0030673B" w:rsidRDefault="0030673B" w:rsidP="0030673B">
            <w:r w:rsidRPr="0030673B">
              <w:t>.</w:t>
            </w:r>
            <w:bookmarkEnd w:id="183"/>
          </w:p>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0.17</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0.81</w:t>
            </w:r>
          </w:p>
        </w:tc>
        <w:tc>
          <w:tcPr>
            <w:tcW w:w="678"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Not</w:t>
            </w:r>
          </w:p>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w:t>
            </w:r>
          </w:p>
          <w:p w:rsidR="0030673B" w:rsidRPr="0030673B" w:rsidRDefault="0030673B" w:rsidP="0030673B">
            <w:r w:rsidRPr="0030673B">
              <w:t>4</w:t>
            </w:r>
          </w:p>
        </w:tc>
        <w:tc>
          <w:tcPr>
            <w:tcW w:w="2402" w:type="pc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r w:rsidRPr="0030673B">
              <w:t xml:space="preserve">The effective working schedules and procedures of OPD's services and facilities increase patient satisfaction </w:t>
            </w:r>
          </w:p>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0.34</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0.76</w:t>
            </w:r>
          </w:p>
        </w:tc>
        <w:tc>
          <w:tcPr>
            <w:tcW w:w="678"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Not</w:t>
            </w:r>
          </w:p>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w:t>
            </w:r>
          </w:p>
          <w:p w:rsidR="0030673B" w:rsidRPr="0030673B" w:rsidRDefault="0030673B" w:rsidP="0030673B">
            <w:r w:rsidRPr="0030673B">
              <w:t>5</w:t>
            </w:r>
          </w:p>
        </w:tc>
        <w:tc>
          <w:tcPr>
            <w:tcW w:w="2402" w:type="pct"/>
            <w:tcBorders>
              <w:top w:val="single" w:sz="4" w:space="0" w:color="auto"/>
              <w:left w:val="single" w:sz="4" w:space="0" w:color="auto"/>
              <w:bottom w:val="single" w:sz="4" w:space="0" w:color="auto"/>
              <w:right w:val="single" w:sz="4" w:space="0" w:color="auto"/>
            </w:tcBorders>
            <w:vAlign w:val="center"/>
            <w:hideMark/>
          </w:tcPr>
          <w:p w:rsidR="0030673B" w:rsidRPr="0030673B" w:rsidRDefault="0030673B" w:rsidP="0030673B">
            <w:r w:rsidRPr="0030673B">
              <w:t>Technology efficiency moderates the relationship between clinical facilities and patient satisfaction.</w:t>
            </w:r>
          </w:p>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4.49</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0.02</w:t>
            </w:r>
          </w:p>
        </w:tc>
        <w:tc>
          <w:tcPr>
            <w:tcW w:w="678" w:type="pct"/>
            <w:tcBorders>
              <w:top w:val="single" w:sz="4" w:space="0" w:color="auto"/>
              <w:left w:val="single" w:sz="4" w:space="0" w:color="auto"/>
              <w:bottom w:val="single" w:sz="4" w:space="0" w:color="auto"/>
              <w:right w:val="single" w:sz="4" w:space="0" w:color="auto"/>
            </w:tcBorders>
            <w:noWrap/>
            <w:vAlign w:val="center"/>
          </w:tcPr>
          <w:p w:rsidR="0030673B" w:rsidRPr="0030673B" w:rsidRDefault="0030673B" w:rsidP="0030673B"/>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tr w:rsidR="0030673B" w:rsidRPr="0030673B" w:rsidTr="0030673B">
        <w:trPr>
          <w:trHeight w:val="1180"/>
        </w:trPr>
        <w:tc>
          <w:tcPr>
            <w:tcW w:w="819"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Hypothesis 6</w:t>
            </w:r>
          </w:p>
        </w:tc>
        <w:tc>
          <w:tcPr>
            <w:tcW w:w="2402" w:type="pct"/>
            <w:tcBorders>
              <w:top w:val="single" w:sz="4" w:space="0" w:color="auto"/>
              <w:left w:val="single" w:sz="4" w:space="0" w:color="auto"/>
              <w:bottom w:val="single" w:sz="4" w:space="0" w:color="auto"/>
              <w:right w:val="single" w:sz="4" w:space="0" w:color="auto"/>
            </w:tcBorders>
            <w:vAlign w:val="center"/>
          </w:tcPr>
          <w:p w:rsidR="0030673B" w:rsidRPr="0030673B" w:rsidRDefault="0030673B" w:rsidP="0030673B">
            <w:r w:rsidRPr="0030673B">
              <w:t>There is a significant relationship between efficient HIT integration and patient satisfaction.</w:t>
            </w:r>
          </w:p>
          <w:p w:rsidR="0030673B" w:rsidRPr="0030673B" w:rsidRDefault="0030673B" w:rsidP="0030673B"/>
        </w:tc>
        <w:tc>
          <w:tcPr>
            <w:tcW w:w="550"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8.26</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pPr>
              <w:rPr>
                <w:b/>
                <w:bCs/>
              </w:rPr>
            </w:pPr>
            <w:r w:rsidRPr="0030673B">
              <w:rPr>
                <w:b/>
                <w:bCs/>
              </w:rPr>
              <w:t>0.04</w:t>
            </w:r>
          </w:p>
        </w:tc>
        <w:tc>
          <w:tcPr>
            <w:tcW w:w="678" w:type="pct"/>
            <w:tcBorders>
              <w:top w:val="single" w:sz="4" w:space="0" w:color="auto"/>
              <w:left w:val="single" w:sz="4" w:space="0" w:color="auto"/>
              <w:bottom w:val="single" w:sz="4" w:space="0" w:color="auto"/>
              <w:right w:val="single" w:sz="4" w:space="0" w:color="auto"/>
            </w:tcBorders>
            <w:noWrap/>
            <w:vAlign w:val="center"/>
            <w:hideMark/>
          </w:tcPr>
          <w:p w:rsidR="0030673B" w:rsidRPr="0030673B" w:rsidRDefault="0030673B" w:rsidP="0030673B">
            <w:r w:rsidRPr="0030673B">
              <w:t>Supported</w:t>
            </w:r>
          </w:p>
        </w:tc>
        <w:tc>
          <w:tcPr>
            <w:tcW w:w="0" w:type="auto"/>
            <w:vAlign w:val="center"/>
            <w:hideMark/>
          </w:tcPr>
          <w:p w:rsidR="0030673B" w:rsidRPr="0030673B" w:rsidRDefault="0030673B" w:rsidP="0030673B">
            <w:pPr>
              <w:rPr>
                <w:lang w:val="en-US"/>
              </w:rPr>
            </w:pPr>
          </w:p>
        </w:tc>
      </w:tr>
      <w:bookmarkEnd w:id="182"/>
    </w:tbl>
    <w:p w:rsidR="0030673B" w:rsidRPr="0030673B" w:rsidRDefault="0030673B" w:rsidP="0030673B"/>
    <w:p w:rsidR="0030673B" w:rsidRPr="0030673B" w:rsidRDefault="0030673B" w:rsidP="0030673B">
      <w:pPr>
        <w:rPr>
          <w:bCs/>
        </w:rPr>
      </w:pPr>
      <w:bookmarkStart w:id="184" w:name="_Toc445009525"/>
      <w:bookmarkStart w:id="185" w:name="_Toc451985760"/>
      <w:bookmarkStart w:id="186" w:name="_Toc491423679"/>
      <w:bookmarkStart w:id="187" w:name="_Toc505881961"/>
      <w:bookmarkStart w:id="188" w:name="_Toc54340727"/>
      <w:bookmarkStart w:id="189" w:name="_Toc56088006"/>
      <w:bookmarkStart w:id="190" w:name="_Toc56088255"/>
      <w:bookmarkStart w:id="191" w:name="_Toc65528090"/>
    </w:p>
    <w:p w:rsidR="0030673B" w:rsidRPr="0030673B" w:rsidRDefault="0030673B" w:rsidP="0030673B">
      <w:pPr>
        <w:rPr>
          <w:bCs/>
        </w:rPr>
      </w:pPr>
      <w:r w:rsidRPr="0030673B">
        <w:rPr>
          <w:b/>
          <w:bCs/>
        </w:rPr>
        <w:t>4.11</w:t>
      </w:r>
      <w:r w:rsidRPr="0030673B">
        <w:rPr>
          <w:b/>
          <w:bCs/>
        </w:rPr>
        <w:tab/>
        <w:t>SUMMARY OF FINDINGS</w:t>
      </w:r>
      <w:bookmarkEnd w:id="184"/>
      <w:bookmarkEnd w:id="185"/>
      <w:bookmarkEnd w:id="186"/>
      <w:bookmarkEnd w:id="187"/>
      <w:bookmarkEnd w:id="188"/>
      <w:bookmarkEnd w:id="189"/>
      <w:bookmarkEnd w:id="190"/>
      <w:bookmarkEnd w:id="191"/>
      <w:r w:rsidRPr="0030673B">
        <w:rPr>
          <w:b/>
          <w:bCs/>
        </w:rPr>
        <w:t xml:space="preserve"> </w:t>
      </w:r>
    </w:p>
    <w:p w:rsidR="00965610" w:rsidRDefault="0030673B" w:rsidP="00965610">
      <w:pPr>
        <w:ind w:firstLine="720"/>
      </w:pPr>
      <w:r w:rsidRPr="0030673B">
        <w:t xml:space="preserve">The results of this investigation were presented in the current chapter (chapter 4). It provided information on the characteristics and response rate, adopted methods for improving measurement, and </w:t>
      </w:r>
      <w:r w:rsidRPr="0030673B">
        <w:lastRenderedPageBreak/>
        <w:t>conducted analysis to look at the validity and reliability tests of the instrument. Through descriptive statistics and reliability analysis, it is shown that the study's respondents are generally well-versed in efficient HIT integration and Technology efficiency. More significantly, the results of the PLS-SEM analysis derived from the assessment of the measurement model, structural model, and hypothesis testing have been provided in this chapter. Last but not least, as the numerous analyses above show, four of the eleven major hypotheses were discarded due to insignificant results, while seven of the eleven were</w:t>
      </w:r>
      <w:r w:rsidRPr="0030673B">
        <w:rPr>
          <w:lang w:val="en-US"/>
        </w:rPr>
        <w:t xml:space="preserve"> </w:t>
      </w:r>
      <w:r w:rsidRPr="0030673B">
        <w:t>supported</w:t>
      </w:r>
      <w:r w:rsidRPr="0030673B">
        <w:rPr>
          <w:lang w:val="en-US"/>
        </w:rPr>
        <w:t xml:space="preserve"> </w:t>
      </w:r>
      <w:r w:rsidRPr="0030673B">
        <w:t xml:space="preserve">as significant. </w:t>
      </w:r>
      <w:r w:rsidRPr="0030673B">
        <w:br/>
      </w:r>
      <w:r w:rsidRPr="0030673B">
        <w:br/>
      </w: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965610" w:rsidRDefault="00965610" w:rsidP="00965610">
      <w:pPr>
        <w:ind w:firstLine="720"/>
      </w:pPr>
    </w:p>
    <w:p w:rsidR="0030673B" w:rsidRPr="0030673B" w:rsidRDefault="0030673B" w:rsidP="00965610">
      <w:pPr>
        <w:ind w:firstLine="720"/>
        <w:jc w:val="center"/>
        <w:rPr>
          <w:lang w:val="en-US"/>
        </w:rPr>
      </w:pPr>
      <w:bookmarkStart w:id="192" w:name="_Toc54340728"/>
      <w:bookmarkStart w:id="193" w:name="_Toc56088007"/>
      <w:bookmarkStart w:id="194" w:name="_Toc56088256"/>
      <w:bookmarkStart w:id="195" w:name="_Toc65528091"/>
      <w:r w:rsidRPr="0030673B">
        <w:rPr>
          <w:b/>
          <w:lang w:val="en-US"/>
        </w:rPr>
        <w:lastRenderedPageBreak/>
        <w:t>CHAPTER FIVE</w:t>
      </w:r>
      <w:bookmarkEnd w:id="192"/>
      <w:bookmarkEnd w:id="193"/>
      <w:bookmarkEnd w:id="194"/>
      <w:bookmarkEnd w:id="195"/>
    </w:p>
    <w:p w:rsidR="0030673B" w:rsidRPr="0030673B" w:rsidRDefault="0030673B" w:rsidP="0030673B">
      <w:pPr>
        <w:jc w:val="center"/>
        <w:rPr>
          <w:b/>
        </w:rPr>
      </w:pPr>
      <w:bookmarkStart w:id="196" w:name="_Toc54340729"/>
      <w:bookmarkStart w:id="197" w:name="_Toc56088008"/>
      <w:bookmarkStart w:id="198" w:name="_Toc56088257"/>
      <w:bookmarkStart w:id="199" w:name="_Toc65528092"/>
      <w:r w:rsidRPr="0030673B">
        <w:rPr>
          <w:b/>
        </w:rPr>
        <w:t>DISCUSSION, IMPLICATION AND RECOMMENDATIONS</w:t>
      </w:r>
      <w:bookmarkEnd w:id="196"/>
      <w:bookmarkEnd w:id="197"/>
      <w:bookmarkEnd w:id="198"/>
      <w:bookmarkEnd w:id="199"/>
    </w:p>
    <w:p w:rsidR="0030673B" w:rsidRPr="0030673B" w:rsidRDefault="0030673B" w:rsidP="0030673B">
      <w:pPr>
        <w:rPr>
          <w:lang w:val="en-MY"/>
        </w:rPr>
      </w:pPr>
    </w:p>
    <w:p w:rsidR="0030673B" w:rsidRPr="0030673B" w:rsidRDefault="0030673B" w:rsidP="0030673B">
      <w:pPr>
        <w:rPr>
          <w:b/>
          <w:bCs/>
        </w:rPr>
      </w:pPr>
      <w:bookmarkStart w:id="200" w:name="_Toc54340730"/>
      <w:bookmarkStart w:id="201" w:name="_Toc56088009"/>
      <w:bookmarkStart w:id="202" w:name="_Toc56088258"/>
      <w:bookmarkStart w:id="203" w:name="_Toc65528093"/>
      <w:r w:rsidRPr="0030673B">
        <w:rPr>
          <w:b/>
          <w:bCs/>
        </w:rPr>
        <w:t>5.1</w:t>
      </w:r>
      <w:r w:rsidRPr="0030673B">
        <w:rPr>
          <w:b/>
          <w:bCs/>
        </w:rPr>
        <w:tab/>
        <w:t>INTRODUCTION</w:t>
      </w:r>
      <w:bookmarkEnd w:id="200"/>
      <w:bookmarkEnd w:id="201"/>
      <w:bookmarkEnd w:id="202"/>
      <w:bookmarkEnd w:id="203"/>
    </w:p>
    <w:p w:rsidR="0030673B" w:rsidRPr="0030673B" w:rsidRDefault="0030673B" w:rsidP="003B6F5F">
      <w:pPr>
        <w:ind w:firstLine="720"/>
      </w:pPr>
      <w:r w:rsidRPr="0030673B">
        <w:t>The study's findings provide an assessment of how effectively the investigation addresses its aim of understanding the mediating role of technology efficiency on outpatient department (OPD) services and facilities in relation to healthcare quality in the southern region of Saudi Arabia. In order to solve the research problem, answer the research questions, accomplish the research objectives, observe the importance of the study, and identify a number of constraints before making recommendations, this chapter began with a description of hypothesis testing. To support and strengthen the research, a thorough analysis of the literature in the relevant domains is provided. This chapter highlights the implications, contributions, limitations, and recommendations throughout the entire process by outlining various possibilities for further study, industry-applicable initiatives, and policy regulation reinforcement.</w:t>
      </w:r>
    </w:p>
    <w:p w:rsidR="0030673B" w:rsidRPr="0030673B" w:rsidRDefault="0030673B" w:rsidP="0030673B">
      <w:pPr>
        <w:rPr>
          <w:b/>
          <w:bCs/>
        </w:rPr>
      </w:pPr>
      <w:bookmarkStart w:id="204" w:name="_Toc65528094"/>
      <w:r w:rsidRPr="0030673B">
        <w:rPr>
          <w:b/>
          <w:bCs/>
        </w:rPr>
        <w:t>5.2</w:t>
      </w:r>
      <w:r w:rsidRPr="0030673B">
        <w:rPr>
          <w:b/>
          <w:bCs/>
        </w:rPr>
        <w:tab/>
        <w:t>OVERVIEW ON THE FINDINGS OF THE STUDY</w:t>
      </w:r>
      <w:bookmarkEnd w:id="204"/>
    </w:p>
    <w:p w:rsidR="0030673B" w:rsidRPr="0030673B" w:rsidRDefault="0030673B" w:rsidP="003B6F5F">
      <w:pPr>
        <w:ind w:firstLine="720"/>
      </w:pPr>
      <w:r w:rsidRPr="0030673B">
        <w:t>This work had the general objective of examining the way in which the adoption of healthcare technology can improve the quality of Health care delivery particularly in patient-</w:t>
      </w:r>
      <w:proofErr w:type="spellStart"/>
      <w:r w:rsidRPr="0030673B">
        <w:t>centered</w:t>
      </w:r>
      <w:proofErr w:type="spellEnd"/>
      <w:r w:rsidRPr="0030673B">
        <w:t xml:space="preserve"> care and the relationship with patient satisfaction. Carried out in the OPD of hospitals in the southern area of Saudi Arabia.  The data gathered for the purpose of the current study was used to verify the study hypotheses properly. In this chapter, first, a summary of all hypothesis testing results that were explained in the prior chapter is provided. technology efficiency, again, in the present paper, is the key independent variable whose effects on the services/facilities offered in outpatient departments (OPD) will be explored. In doing so, this research seeks to explore the degree to which these technological changes enhance the quality of OPD services. The results of the hypothesis testing are presented below in table 5.1 to facilitate the comprehension of the implications of the data to the achievement of the study </w:t>
      </w:r>
      <w:proofErr w:type="gramStart"/>
      <w:r w:rsidRPr="0030673B">
        <w:t>objectives..</w:t>
      </w:r>
      <w:proofErr w:type="gramEnd"/>
    </w:p>
    <w:p w:rsidR="0030673B" w:rsidRPr="0030673B" w:rsidRDefault="0030673B" w:rsidP="0030673B"/>
    <w:p w:rsidR="0030673B" w:rsidRPr="0030673B" w:rsidRDefault="0030673B" w:rsidP="0030673B">
      <w:pPr>
        <w:rPr>
          <w:b/>
          <w:lang w:val="en-MY"/>
        </w:rPr>
      </w:pPr>
      <w:bookmarkStart w:id="205" w:name="_Toc65501058"/>
      <w:bookmarkStart w:id="206" w:name="_Toc505768759"/>
      <w:bookmarkStart w:id="207" w:name="_Toc54314741"/>
      <w:bookmarkStart w:id="208" w:name="_Toc56082777"/>
      <w:bookmarkStart w:id="209" w:name="_Toc56099360"/>
      <w:bookmarkStart w:id="210" w:name="_Toc56100709"/>
      <w:bookmarkStart w:id="211" w:name="_Toc56266947"/>
      <w:r w:rsidRPr="0030673B">
        <w:rPr>
          <w:b/>
          <w:lang w:val="en-MY"/>
        </w:rPr>
        <w:t xml:space="preserve">Table 5. </w:t>
      </w:r>
      <w:r w:rsidRPr="0030673B">
        <w:rPr>
          <w:bCs/>
          <w:lang w:val="en-MY"/>
        </w:rPr>
        <w:fldChar w:fldCharType="begin"/>
      </w:r>
      <w:r w:rsidRPr="0030673B">
        <w:rPr>
          <w:b/>
          <w:lang w:val="en-MY"/>
        </w:rPr>
        <w:instrText xml:space="preserve"> SEQ Table_5. \* ARABIC </w:instrText>
      </w:r>
      <w:r w:rsidRPr="0030673B">
        <w:rPr>
          <w:bCs/>
          <w:lang w:val="en-MY"/>
        </w:rPr>
        <w:fldChar w:fldCharType="separate"/>
      </w:r>
      <w:r w:rsidRPr="0030673B">
        <w:rPr>
          <w:b/>
          <w:lang w:val="en-MY"/>
        </w:rPr>
        <w:t>1</w:t>
      </w:r>
      <w:r w:rsidRPr="0030673B">
        <w:fldChar w:fldCharType="end"/>
      </w:r>
      <w:r w:rsidRPr="0030673B">
        <w:rPr>
          <w:b/>
          <w:lang w:val="en-MY"/>
        </w:rPr>
        <w:t xml:space="preserve">  Summary of Hypothesis Testing</w:t>
      </w:r>
      <w:bookmarkEnd w:id="205"/>
    </w:p>
    <w:p w:rsidR="0030673B" w:rsidRPr="0030673B" w:rsidRDefault="0030673B" w:rsidP="0030673B">
      <w:pPr>
        <w:rPr>
          <w:b/>
          <w:bCs/>
          <w:i/>
          <w:iCs/>
          <w:lang w:val="en-MY"/>
        </w:rPr>
      </w:pPr>
      <w:r w:rsidRPr="0030673B">
        <w:rPr>
          <w:i/>
          <w:iCs/>
          <w:lang w:val="en-MY"/>
        </w:rPr>
        <w:t>Summary of Hypothesis Testing</w:t>
      </w:r>
      <w:bookmarkEnd w:id="206"/>
      <w:bookmarkEnd w:id="207"/>
      <w:bookmarkEnd w:id="208"/>
      <w:bookmarkEnd w:id="209"/>
      <w:bookmarkEnd w:id="210"/>
      <w:bookmarkEnd w:id="211"/>
    </w:p>
    <w:tbl>
      <w:tblPr>
        <w:tblpPr w:leftFromText="180" w:rightFromText="180" w:bottomFromText="160" w:vertAnchor="text" w:tblpXSpec="center" w:tblpY="1"/>
        <w:tblOverlap w:val="never"/>
        <w:tblW w:w="9435" w:type="dxa"/>
        <w:tblLayout w:type="fixed"/>
        <w:tblLook w:val="04A0" w:firstRow="1" w:lastRow="0" w:firstColumn="1" w:lastColumn="0" w:noHBand="0" w:noVBand="1"/>
      </w:tblPr>
      <w:tblGrid>
        <w:gridCol w:w="1278"/>
        <w:gridCol w:w="142"/>
        <w:gridCol w:w="2979"/>
        <w:gridCol w:w="283"/>
        <w:gridCol w:w="2702"/>
        <w:gridCol w:w="135"/>
        <w:gridCol w:w="1844"/>
        <w:gridCol w:w="72"/>
      </w:tblGrid>
      <w:tr w:rsidR="0030673B" w:rsidRPr="0030673B" w:rsidTr="0030673B">
        <w:tc>
          <w:tcPr>
            <w:tcW w:w="1418" w:type="dxa"/>
            <w:gridSpan w:val="2"/>
            <w:tcBorders>
              <w:top w:val="single" w:sz="4" w:space="0" w:color="auto"/>
              <w:left w:val="nil"/>
              <w:bottom w:val="nil"/>
              <w:right w:val="nil"/>
            </w:tcBorders>
            <w:hideMark/>
          </w:tcPr>
          <w:p w:rsidR="0030673B" w:rsidRPr="0030673B" w:rsidRDefault="0030673B" w:rsidP="0030673B">
            <w:pPr>
              <w:rPr>
                <w:b/>
                <w:bCs/>
              </w:rPr>
            </w:pPr>
            <w:r w:rsidRPr="0030673B">
              <w:rPr>
                <w:b/>
                <w:bCs/>
              </w:rPr>
              <w:t>Hypothesis</w:t>
            </w:r>
          </w:p>
        </w:tc>
        <w:tc>
          <w:tcPr>
            <w:tcW w:w="2977" w:type="dxa"/>
            <w:tcBorders>
              <w:top w:val="single" w:sz="4" w:space="0" w:color="auto"/>
              <w:left w:val="nil"/>
              <w:bottom w:val="nil"/>
              <w:right w:val="nil"/>
            </w:tcBorders>
            <w:hideMark/>
          </w:tcPr>
          <w:p w:rsidR="0030673B" w:rsidRPr="0030673B" w:rsidRDefault="0030673B" w:rsidP="0030673B">
            <w:pPr>
              <w:rPr>
                <w:b/>
                <w:bCs/>
              </w:rPr>
            </w:pPr>
            <w:r w:rsidRPr="0030673B">
              <w:rPr>
                <w:b/>
                <w:bCs/>
              </w:rPr>
              <w:t>Relationship (IV)</w:t>
            </w:r>
          </w:p>
        </w:tc>
        <w:tc>
          <w:tcPr>
            <w:tcW w:w="2983" w:type="dxa"/>
            <w:gridSpan w:val="2"/>
            <w:tcBorders>
              <w:top w:val="single" w:sz="4" w:space="0" w:color="auto"/>
              <w:left w:val="nil"/>
              <w:bottom w:val="nil"/>
              <w:right w:val="nil"/>
            </w:tcBorders>
            <w:hideMark/>
          </w:tcPr>
          <w:p w:rsidR="0030673B" w:rsidRPr="0030673B" w:rsidRDefault="0030673B" w:rsidP="0030673B">
            <w:pPr>
              <w:rPr>
                <w:b/>
                <w:bCs/>
              </w:rPr>
            </w:pPr>
            <w:r w:rsidRPr="0030673B">
              <w:rPr>
                <w:b/>
                <w:bCs/>
              </w:rPr>
              <w:t>(DV)</w:t>
            </w:r>
          </w:p>
        </w:tc>
        <w:tc>
          <w:tcPr>
            <w:tcW w:w="2050" w:type="dxa"/>
            <w:gridSpan w:val="3"/>
            <w:tcBorders>
              <w:top w:val="single" w:sz="4" w:space="0" w:color="auto"/>
              <w:left w:val="nil"/>
              <w:bottom w:val="nil"/>
              <w:right w:val="nil"/>
            </w:tcBorders>
            <w:hideMark/>
          </w:tcPr>
          <w:p w:rsidR="0030673B" w:rsidRPr="0030673B" w:rsidRDefault="0030673B" w:rsidP="0030673B">
            <w:pPr>
              <w:rPr>
                <w:b/>
                <w:bCs/>
              </w:rPr>
            </w:pPr>
            <w:r w:rsidRPr="0030673B">
              <w:rPr>
                <w:b/>
                <w:bCs/>
              </w:rPr>
              <w:t>Results</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t>H</w:t>
            </w:r>
            <w:r w:rsidRPr="0030673B">
              <w:rPr>
                <w:vertAlign w:val="subscript"/>
              </w:rPr>
              <w:t>1</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Perceived Doctor Service</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Supported</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t>H</w:t>
            </w:r>
            <w:r w:rsidRPr="0030673B">
              <w:rPr>
                <w:vertAlign w:val="subscript"/>
              </w:rPr>
              <w:t>2</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Perceived Nurse/Staff Services</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Supported</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lastRenderedPageBreak/>
              <w:t>H</w:t>
            </w:r>
            <w:r w:rsidRPr="0030673B">
              <w:rPr>
                <w:vertAlign w:val="subscript"/>
              </w:rPr>
              <w:t>3</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Perceived Administrative Services</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Not Supported</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t>H</w:t>
            </w:r>
            <w:r w:rsidRPr="0030673B">
              <w:rPr>
                <w:vertAlign w:val="subscript"/>
              </w:rPr>
              <w:t>4</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Working schedules and procedures of OPD's services and facilities</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Not Supported</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t>H</w:t>
            </w:r>
            <w:r w:rsidRPr="0030673B">
              <w:rPr>
                <w:vertAlign w:val="subscript"/>
              </w:rPr>
              <w:t>5</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Perceived Clinical Facilities</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Supported</w:t>
            </w:r>
          </w:p>
        </w:tc>
      </w:tr>
      <w:tr w:rsidR="0030673B" w:rsidRPr="0030673B" w:rsidTr="0030673B">
        <w:trPr>
          <w:gridAfter w:val="1"/>
          <w:wAfter w:w="72" w:type="dxa"/>
          <w:trHeight w:val="418"/>
        </w:trPr>
        <w:tc>
          <w:tcPr>
            <w:tcW w:w="1276" w:type="dxa"/>
            <w:tcBorders>
              <w:top w:val="single" w:sz="4" w:space="0" w:color="auto"/>
              <w:left w:val="nil"/>
              <w:bottom w:val="single" w:sz="4" w:space="0" w:color="auto"/>
              <w:right w:val="nil"/>
            </w:tcBorders>
            <w:hideMark/>
          </w:tcPr>
          <w:p w:rsidR="0030673B" w:rsidRPr="0030673B" w:rsidRDefault="0030673B" w:rsidP="0030673B">
            <w:r w:rsidRPr="0030673B">
              <w:t>H</w:t>
            </w:r>
            <w:r w:rsidRPr="0030673B">
              <w:rPr>
                <w:vertAlign w:val="subscript"/>
              </w:rPr>
              <w:t>6</w:t>
            </w:r>
          </w:p>
        </w:tc>
        <w:tc>
          <w:tcPr>
            <w:tcW w:w="3402" w:type="dxa"/>
            <w:gridSpan w:val="3"/>
            <w:tcBorders>
              <w:top w:val="single" w:sz="4" w:space="0" w:color="auto"/>
              <w:left w:val="nil"/>
              <w:bottom w:val="single" w:sz="4" w:space="0" w:color="auto"/>
              <w:right w:val="nil"/>
            </w:tcBorders>
            <w:hideMark/>
          </w:tcPr>
          <w:p w:rsidR="0030673B" w:rsidRPr="0030673B" w:rsidRDefault="0030673B" w:rsidP="0030673B">
            <w:r w:rsidRPr="0030673B">
              <w:t>HIT Integration</w:t>
            </w:r>
          </w:p>
        </w:tc>
        <w:tc>
          <w:tcPr>
            <w:tcW w:w="2835" w:type="dxa"/>
            <w:gridSpan w:val="2"/>
            <w:tcBorders>
              <w:top w:val="single" w:sz="4" w:space="0" w:color="auto"/>
              <w:left w:val="nil"/>
              <w:bottom w:val="single" w:sz="4" w:space="0" w:color="auto"/>
              <w:right w:val="nil"/>
            </w:tcBorders>
            <w:hideMark/>
          </w:tcPr>
          <w:p w:rsidR="0030673B" w:rsidRPr="0030673B" w:rsidRDefault="0030673B" w:rsidP="0030673B">
            <w:r w:rsidRPr="0030673B">
              <w:sym w:font="Wingdings" w:char="F0E0"/>
            </w:r>
            <w:r w:rsidRPr="0030673B">
              <w:t xml:space="preserve">      Patient Satisfaction</w:t>
            </w:r>
          </w:p>
        </w:tc>
        <w:tc>
          <w:tcPr>
            <w:tcW w:w="1843" w:type="dxa"/>
            <w:tcBorders>
              <w:top w:val="single" w:sz="4" w:space="0" w:color="auto"/>
              <w:left w:val="nil"/>
              <w:bottom w:val="single" w:sz="4" w:space="0" w:color="auto"/>
              <w:right w:val="nil"/>
            </w:tcBorders>
            <w:hideMark/>
          </w:tcPr>
          <w:p w:rsidR="0030673B" w:rsidRPr="0030673B" w:rsidRDefault="0030673B" w:rsidP="0030673B">
            <w:r w:rsidRPr="0030673B">
              <w:t>Supported</w:t>
            </w:r>
          </w:p>
        </w:tc>
      </w:tr>
    </w:tbl>
    <w:p w:rsidR="0030673B" w:rsidRPr="0030673B" w:rsidRDefault="0030673B" w:rsidP="0030673B"/>
    <w:p w:rsidR="0030673B" w:rsidRPr="0030673B" w:rsidRDefault="0030673B" w:rsidP="0030673B">
      <w:pPr>
        <w:rPr>
          <w:b/>
          <w:bCs/>
        </w:rPr>
      </w:pPr>
      <w:bookmarkStart w:id="212" w:name="_Toc54340732"/>
      <w:bookmarkStart w:id="213" w:name="_Toc56088011"/>
      <w:bookmarkStart w:id="214" w:name="_Toc56088260"/>
      <w:bookmarkStart w:id="215" w:name="_Toc65528095"/>
      <w:r w:rsidRPr="0030673B">
        <w:rPr>
          <w:b/>
          <w:bCs/>
        </w:rPr>
        <w:t>5.3</w:t>
      </w:r>
      <w:r w:rsidRPr="0030673B">
        <w:rPr>
          <w:b/>
          <w:bCs/>
        </w:rPr>
        <w:tab/>
        <w:t>DISCUSSION OF HYPOTHESES TESTING</w:t>
      </w:r>
      <w:bookmarkEnd w:id="212"/>
      <w:bookmarkEnd w:id="213"/>
      <w:bookmarkEnd w:id="214"/>
      <w:bookmarkEnd w:id="215"/>
    </w:p>
    <w:p w:rsidR="0030673B" w:rsidRPr="0030673B" w:rsidRDefault="0030673B" w:rsidP="0030673B">
      <w:r w:rsidRPr="0030673B">
        <w:tab/>
      </w:r>
      <w:r w:rsidRPr="0030673B">
        <w:tab/>
      </w:r>
      <w:proofErr w:type="spellStart"/>
      <w:r w:rsidRPr="0030673B">
        <w:t>Tthis</w:t>
      </w:r>
      <w:proofErr w:type="spellEnd"/>
      <w:r w:rsidRPr="0030673B">
        <w:t xml:space="preserve"> section gives elaboration of the hypothesis results that was done in chapter four of the study. This paper discusses how aspects of OPD doctor services, nurses’ and subordinates’ functions, administrative services, work timings, clinic availability, and the implementation of IT health technology all directly relate to patient satisfaction. In pointing out these factors, the section considers ways how changes in delivery of services in OPD settings can impact positively on patient satisfaction. These insights have valuable implications for knowledge of how efficient service delivery and technological support are essential in patient-oriented </w:t>
      </w:r>
      <w:proofErr w:type="gramStart"/>
      <w:r w:rsidRPr="0030673B">
        <w:t>healthcare..</w:t>
      </w:r>
      <w:proofErr w:type="gramEnd"/>
    </w:p>
    <w:p w:rsidR="0030673B" w:rsidRPr="0030673B" w:rsidRDefault="0030673B" w:rsidP="0030673B"/>
    <w:p w:rsidR="0030673B" w:rsidRPr="0030673B" w:rsidRDefault="0030673B" w:rsidP="0030673B">
      <w:pPr>
        <w:rPr>
          <w:bCs/>
          <w:i/>
          <w:iCs/>
        </w:rPr>
      </w:pPr>
      <w:bookmarkStart w:id="216" w:name="_Toc54340733"/>
      <w:bookmarkStart w:id="217" w:name="_Toc56088012"/>
      <w:bookmarkStart w:id="218" w:name="_Toc56088261"/>
      <w:bookmarkStart w:id="219" w:name="_Toc65528096"/>
      <w:r w:rsidRPr="0030673B">
        <w:rPr>
          <w:b/>
          <w:bCs/>
          <w:i/>
          <w:iCs/>
        </w:rPr>
        <w:t>5.3.1</w:t>
      </w:r>
      <w:r w:rsidRPr="0030673B">
        <w:rPr>
          <w:b/>
          <w:bCs/>
          <w:i/>
          <w:iCs/>
        </w:rPr>
        <w:tab/>
        <w:t>H</w:t>
      </w:r>
      <w:r w:rsidRPr="0030673B">
        <w:rPr>
          <w:b/>
          <w:bCs/>
          <w:i/>
          <w:iCs/>
          <w:vertAlign w:val="subscript"/>
        </w:rPr>
        <w:t>1</w:t>
      </w:r>
      <w:r w:rsidRPr="0030673B">
        <w:rPr>
          <w:b/>
          <w:bCs/>
          <w:i/>
          <w:iCs/>
        </w:rPr>
        <w:t xml:space="preserve">: </w:t>
      </w:r>
      <w:bookmarkStart w:id="220" w:name="_Hlk54212678"/>
      <w:bookmarkEnd w:id="216"/>
      <w:bookmarkEnd w:id="217"/>
      <w:bookmarkEnd w:id="218"/>
      <w:r w:rsidRPr="0030673B">
        <w:rPr>
          <w:b/>
          <w:bCs/>
          <w:i/>
          <w:iCs/>
        </w:rPr>
        <w:t>There is a significant relationship between doctor services and patient satisfaction.</w:t>
      </w:r>
      <w:bookmarkEnd w:id="219"/>
    </w:p>
    <w:bookmarkEnd w:id="220"/>
    <w:p w:rsidR="0030673B" w:rsidRPr="0030673B" w:rsidRDefault="0030673B" w:rsidP="0030673B">
      <w:r w:rsidRPr="0030673B">
        <w:tab/>
      </w:r>
      <w:r w:rsidRPr="0030673B">
        <w:tab/>
        <w:t>Alternatively, in the model under analysis in this paper, there is a positive relationship between the doctor services and patients’ satisfaction, which underlines that the quality of doctor service has a direct impact on the patient satisfaction. Healthcare in the global market has been experiencing greater pressure from consumers demanding value in their services. Therefore, the healthcare systems are forced to evaluate and hike the quality of the services they deliver. This issue cannot be overemphasized, as the quality of healthcare services impacts on people’s health, patients’ satisfaction, and total system efficiency (Huang et al., 2014).</w:t>
      </w:r>
    </w:p>
    <w:p w:rsidR="0030673B" w:rsidRPr="0030673B" w:rsidRDefault="0030673B" w:rsidP="0030673B">
      <w:r w:rsidRPr="0030673B">
        <w:tab/>
        <w:t>The quality of healthcare services plays a crucial role in influencing public health outcomes. Research by Huang et al. (2014) highlights that healthcare service quality directly impacts the recovery rates and overall well-being of patients. For example, a patient’s perception of the quality of care they receive can significantly affect their recovery process, comfort, and overall satisfaction with their healthcare experience. When healthcare institutions maintain high standards of care, they do not only contribute positively to individual patients’ health but also strengthen public trust in the healthcare system at large.</w:t>
      </w:r>
    </w:p>
    <w:p w:rsidR="0030673B" w:rsidRPr="0030673B" w:rsidRDefault="0030673B" w:rsidP="003B6F5F">
      <w:pPr>
        <w:ind w:firstLine="720"/>
      </w:pPr>
      <w:r w:rsidRPr="0030673B">
        <w:t xml:space="preserve">Hospitals as core facilities in any healthcare system play the critical roles of providing diverse services influencing patient care. Hospital service quality comprises of the physical facilities, </w:t>
      </w:r>
      <w:proofErr w:type="spellStart"/>
      <w:r w:rsidRPr="0030673B">
        <w:t>equipments</w:t>
      </w:r>
      <w:proofErr w:type="spellEnd"/>
      <w:r w:rsidRPr="0030673B">
        <w:t xml:space="preserve"> and the people involved in delivering health care services to patients. The results further precipitated that among all the identified factors, the quality of doctor services has direct relevance with the patient’s perception of care. </w:t>
      </w:r>
      <w:r w:rsidRPr="0030673B">
        <w:lastRenderedPageBreak/>
        <w:t>Decreasing in perceived knowledge by doctors and patients results increases the probability of the positive experience rating according to Rasouli and Zarei, 2015.</w:t>
      </w:r>
    </w:p>
    <w:p w:rsidR="0030673B" w:rsidRPr="0030673B" w:rsidRDefault="0030673B" w:rsidP="003B6F5F">
      <w:pPr>
        <w:ind w:firstLine="720"/>
      </w:pPr>
      <w:r w:rsidRPr="0030673B">
        <w:t>Assessment Three defines doctor services as any service that involves medical practice from diagnosing to treating the patient and including communication and counselling. Rasouli and Zarei (2015) it means that to enhance the service quality in the hospitals, organizational attention should be towards the physical and the non-physical characteristics of the services. Tangible elements may refer to issues like the presence of medical equipment as well as available hospital facilities while intangible elements refer to; the ability of medical staff to come across patients, if they are smooth talkers or otherwise. These factors mostly relate to patient satisfaction and are mostly compelling than the tangible ones associated to health care delivery.</w:t>
      </w:r>
    </w:p>
    <w:p w:rsidR="0030673B" w:rsidRPr="0030673B" w:rsidRDefault="0030673B" w:rsidP="003B6F5F">
      <w:pPr>
        <w:ind w:firstLine="720"/>
      </w:pPr>
      <w:r w:rsidRPr="0030673B">
        <w:t xml:space="preserve">According to </w:t>
      </w:r>
      <w:proofErr w:type="spellStart"/>
      <w:r w:rsidRPr="0030673B">
        <w:t>Altuntas</w:t>
      </w:r>
      <w:proofErr w:type="spellEnd"/>
      <w:r w:rsidRPr="0030673B">
        <w:t xml:space="preserve"> et al. (2018), a study shows that patient satisfaction is directly related to the experience of patient–provider relationships; more specifically, the patient–physician relationship. One of the study findings is that patients’ satisfaction level depends on the doctors’ capacity to communicate as well as their ability to listen, engage the patient and explain issues. According to this study, patients self- report higher satisfaction levels, if they perceive that their doctors are responsive, explanatory and </w:t>
      </w:r>
      <w:proofErr w:type="gramStart"/>
      <w:r w:rsidRPr="0030673B">
        <w:t>empathetic..</w:t>
      </w:r>
      <w:proofErr w:type="gramEnd"/>
    </w:p>
    <w:p w:rsidR="0030673B" w:rsidRPr="0030673B" w:rsidRDefault="0030673B" w:rsidP="003B6F5F">
      <w:pPr>
        <w:ind w:firstLine="720"/>
      </w:pPr>
      <w:r w:rsidRPr="0030673B">
        <w:t xml:space="preserve">High-quality healthcare service delivery is also anchored on patient involvement as key players in the health delivery system. Patient- </w:t>
      </w:r>
      <w:proofErr w:type="spellStart"/>
      <w:r w:rsidRPr="0030673B">
        <w:t>centered</w:t>
      </w:r>
      <w:proofErr w:type="spellEnd"/>
      <w:r w:rsidRPr="0030673B">
        <w:t xml:space="preserve"> care means that you have to embrace the patient’s needs, preferences, and values while delivering on care. According to the Rasouli &amp; Zarei, patient </w:t>
      </w:r>
      <w:proofErr w:type="spellStart"/>
      <w:r w:rsidRPr="0030673B">
        <w:t>centered</w:t>
      </w:r>
      <w:proofErr w:type="spellEnd"/>
      <w:r w:rsidRPr="0030673B">
        <w:t xml:space="preserve"> care was revealed to be effective in determining patient satisfaction, compliance with treatment, and health performances.</w:t>
      </w:r>
    </w:p>
    <w:p w:rsidR="0030673B" w:rsidRPr="0030673B" w:rsidRDefault="0030673B" w:rsidP="003B6F5F">
      <w:pPr>
        <w:ind w:firstLine="720"/>
      </w:pPr>
      <w:r w:rsidRPr="0030673B">
        <w:t xml:space="preserve">More specifically when applied to doctor services patient </w:t>
      </w:r>
      <w:proofErr w:type="spellStart"/>
      <w:r w:rsidRPr="0030673B">
        <w:t>centered</w:t>
      </w:r>
      <w:proofErr w:type="spellEnd"/>
      <w:r w:rsidRPr="0030673B">
        <w:t xml:space="preserve"> care could be defined as not only a doctor’s medical treatment of a patient but also his attention and care towards the patient’s needs and feelings. It includes and involves telling, understanding and building a partnership with the doctor and the patient. Emotional care means how the doctors or doctors-in-training communicate with the patients and show compassion and respect from the patient point of view, which is seen as having a very high importance according to </w:t>
      </w:r>
      <w:proofErr w:type="spellStart"/>
      <w:r w:rsidRPr="0030673B">
        <w:t>Altuntas</w:t>
      </w:r>
      <w:proofErr w:type="spellEnd"/>
      <w:r w:rsidRPr="0030673B">
        <w:t xml:space="preserve"> et al. (2018). It is universally clear that patients benefit from their care if they are offered the chance to be heard and to have their thoughts and feelings condensed into the decisions made by their physicians</w:t>
      </w:r>
    </w:p>
    <w:p w:rsidR="0030673B" w:rsidRPr="0030673B" w:rsidRDefault="0030673B" w:rsidP="003B6F5F">
      <w:pPr>
        <w:ind w:firstLine="720"/>
      </w:pPr>
      <w:r w:rsidRPr="0030673B">
        <w:t xml:space="preserve">Doctor services as an element of the services mix are not only significant due to patients’ initial general impressions but also have long-term consequences. It would also contribute to </w:t>
      </w:r>
      <w:proofErr w:type="spellStart"/>
      <w:r w:rsidRPr="0030673B">
        <w:t>to</w:t>
      </w:r>
      <w:proofErr w:type="spellEnd"/>
      <w:r w:rsidRPr="0030673B">
        <w:t xml:space="preserve"> patient loyalty since patients prefer to seek another healthcare when they have been </w:t>
      </w:r>
      <w:proofErr w:type="gramStart"/>
      <w:r w:rsidRPr="0030673B">
        <w:t>content</w:t>
      </w:r>
      <w:proofErr w:type="gramEnd"/>
      <w:r w:rsidRPr="0030673B">
        <w:t xml:space="preserve"> with the kind of care being offered to them. Consequently its, positive word-of-mouth referrals become an advantage to healthcare organizations because of the consistent patient flow. Patient loyalty is crucial in today’s world, where the patient has numerous choices, can go to any healthcare provider that has civilized the process and is here and ready to serve you.</w:t>
      </w:r>
    </w:p>
    <w:p w:rsidR="0030673B" w:rsidRPr="0030673B" w:rsidRDefault="0030673B" w:rsidP="003B6F5F">
      <w:pPr>
        <w:ind w:firstLine="720"/>
      </w:pPr>
      <w:r w:rsidRPr="0030673B">
        <w:t xml:space="preserve">Multiple works back the hypothesis that quality doctor services would create sustainable patient satisfaction and retention. For example, Williams et al. (2017) conducted their study and discovered that </w:t>
      </w:r>
      <w:r w:rsidRPr="0030673B">
        <w:lastRenderedPageBreak/>
        <w:t xml:space="preserve">patient who had higher satisfaction with their physicians were likely to comply with follow-up care, ensure they complete their treatment regimes, and refer their physicians to other patients. These </w:t>
      </w:r>
      <w:proofErr w:type="spellStart"/>
      <w:r w:rsidRPr="0030673B">
        <w:t>behaviors</w:t>
      </w:r>
      <w:proofErr w:type="spellEnd"/>
      <w:r w:rsidRPr="0030673B">
        <w:t xml:space="preserve"> are </w:t>
      </w:r>
      <w:proofErr w:type="gramStart"/>
      <w:r w:rsidRPr="0030673B">
        <w:t>an evidence of a positive causality</w:t>
      </w:r>
      <w:proofErr w:type="gramEnd"/>
      <w:r w:rsidRPr="0030673B">
        <w:t xml:space="preserve"> between doctor service and patient satisfaction.</w:t>
      </w:r>
    </w:p>
    <w:p w:rsidR="0030673B" w:rsidRPr="0030673B" w:rsidRDefault="0030673B" w:rsidP="003B6F5F">
      <w:pPr>
        <w:ind w:firstLine="720"/>
      </w:pPr>
      <w:r w:rsidRPr="0030673B">
        <w:t xml:space="preserve">As widely known, the first parameter relates to doctor services which affect patient satisfaction and involve establishment of effective communication. The idea is about the essence of clear and concise interaction of doctors with their patients, as the way the doctors address patient often influences the perception of the quality of medical treatments which are offered to patient. I observe that </w:t>
      </w:r>
      <w:proofErr w:type="spellStart"/>
      <w:r w:rsidRPr="0030673B">
        <w:t>patient’s</w:t>
      </w:r>
      <w:proofErr w:type="spellEnd"/>
      <w:r w:rsidRPr="0030673B">
        <w:t xml:space="preserve"> who are listened to by their doctors and actually feel that their doctors care enough to understand their problem, are more likely to trust their doctors and their proposed treatment plans. Engel et al (2018) surveyed the relationship that exists between doctors and their customers and established that the terminal consumers are more satisfied when the doctors are able to explain the nature of the ailment, mode of handling it, and the likely </w:t>
      </w:r>
      <w:proofErr w:type="gramStart"/>
      <w:r w:rsidRPr="0030673B">
        <w:t>results..</w:t>
      </w:r>
      <w:proofErr w:type="gramEnd"/>
    </w:p>
    <w:p w:rsidR="0030673B" w:rsidRPr="0030673B" w:rsidRDefault="0030673B" w:rsidP="003B6F5F">
      <w:pPr>
        <w:ind w:firstLine="720"/>
      </w:pPr>
      <w:r w:rsidRPr="0030673B">
        <w:t>In addition, it can contribute to the patient’s anxiety and therefore the quality of the health of the patient due to communication. Whenever physicians actually sit down and discuss the details of the treatment process, concerns and answers to questions, it is unlikely that the patients will feel uncomfortable and become uncertain in their decisions. In his work, Engel et al. (2018) have pointed out that when communication is properly done, feelings of fear and uncertainty are also reduced hence improving the experience of healthcare.</w:t>
      </w:r>
    </w:p>
    <w:p w:rsidR="0030673B" w:rsidRPr="0030673B" w:rsidRDefault="0030673B" w:rsidP="00226411">
      <w:pPr>
        <w:ind w:firstLine="720"/>
      </w:pPr>
      <w:r w:rsidRPr="0030673B">
        <w:t>Another</w:t>
      </w:r>
      <w:r w:rsidR="003B6F5F">
        <w:t xml:space="preserve"> </w:t>
      </w:r>
      <w:r w:rsidRPr="0030673B">
        <w:t>essential</w:t>
      </w:r>
      <w:r w:rsidR="003B6F5F">
        <w:t xml:space="preserve"> </w:t>
      </w:r>
      <w:r w:rsidRPr="0030673B">
        <w:t>part</w:t>
      </w:r>
      <w:r w:rsidR="003B6F5F">
        <w:t xml:space="preserve"> </w:t>
      </w:r>
      <w:r w:rsidRPr="0030673B">
        <w:t>of</w:t>
      </w:r>
      <w:r w:rsidR="003B6F5F">
        <w:t xml:space="preserve"> </w:t>
      </w:r>
      <w:r w:rsidRPr="0030673B">
        <w:t>doctor</w:t>
      </w:r>
      <w:r w:rsidR="003B6F5F">
        <w:t xml:space="preserve"> </w:t>
      </w:r>
      <w:r w:rsidRPr="0030673B">
        <w:t>services</w:t>
      </w:r>
      <w:r w:rsidR="003B6F5F">
        <w:t xml:space="preserve"> </w:t>
      </w:r>
      <w:r w:rsidRPr="0030673B">
        <w:t>is</w:t>
      </w:r>
      <w:r w:rsidR="003B6F5F">
        <w:t xml:space="preserve"> </w:t>
      </w:r>
      <w:r w:rsidRPr="0030673B">
        <w:t>empathy,</w:t>
      </w:r>
      <w:r w:rsidR="003B6F5F">
        <w:t xml:space="preserve"> </w:t>
      </w:r>
      <w:r w:rsidRPr="0030673B">
        <w:t>which</w:t>
      </w:r>
      <w:r w:rsidR="003B6F5F">
        <w:t xml:space="preserve"> </w:t>
      </w:r>
      <w:r w:rsidRPr="0030673B">
        <w:t>impacts</w:t>
      </w:r>
      <w:r w:rsidR="003B6F5F">
        <w:t xml:space="preserve"> </w:t>
      </w:r>
      <w:r w:rsidRPr="0030673B">
        <w:t>on</w:t>
      </w:r>
      <w:r w:rsidR="003B6F5F">
        <w:t xml:space="preserve"> </w:t>
      </w:r>
      <w:r w:rsidRPr="0030673B">
        <w:t>patient</w:t>
      </w:r>
      <w:r w:rsidR="003B6F5F">
        <w:t xml:space="preserve"> </w:t>
      </w:r>
      <w:r w:rsidRPr="0030673B">
        <w:t xml:space="preserve">contentment. Doctors should ensure that they show some level of concern in their patients; this way, it will improve a patient’s experience. Caring actions like expressing concern towards a patient’s psychological health, listening to their concerns and keeping them calm by offering them encouragement helps build trust with the patients. In the study conducted by </w:t>
      </w:r>
      <w:proofErr w:type="spellStart"/>
      <w:r w:rsidRPr="0030673B">
        <w:t>Hojat</w:t>
      </w:r>
      <w:proofErr w:type="spellEnd"/>
      <w:r w:rsidRPr="0030673B">
        <w:t xml:space="preserve"> et al. (2018), doctor’s empathy leads to patient satisfaction with care received.</w:t>
      </w:r>
    </w:p>
    <w:p w:rsidR="0030673B" w:rsidRPr="0030673B" w:rsidRDefault="0030673B" w:rsidP="00226411">
      <w:pPr>
        <w:ind w:firstLine="720"/>
      </w:pPr>
      <w:r w:rsidRPr="0030673B">
        <w:t>Emotional component is also important, one of them being empathy which can lead to better a health status. Every time patients see that their doctors are concerned about their health and acknowledge the patients’ concerns, they are likely to adhere to doctors’ advice and lead healthy lifestyles. This results in improved health outcomes hence supporting doctors’ services’ positive impact on patient satisfaction.</w:t>
      </w:r>
    </w:p>
    <w:p w:rsidR="0030673B" w:rsidRPr="0030673B" w:rsidRDefault="0030673B" w:rsidP="00226411">
      <w:pPr>
        <w:ind w:firstLine="720"/>
      </w:pPr>
      <w:r w:rsidRPr="0030673B">
        <w:t>The conclusion drawn from the present study that posited a positive association between doctor services and patient satisfaction is underpinned by a body of literature underscored by the significance of quality medical service delivery. The specific aspects of these doctor-patient communications include perceived clinician communication, clinician empathy, and clinician listening as essential determinants of patients’ overall satisfaction. In light of the increasing global demand for healthcare services, it is crucial for healthcare stakeholders to focus on doctor services while also making certain that doctors are capable of offering high quality service.</w:t>
      </w:r>
    </w:p>
    <w:p w:rsidR="0030673B" w:rsidRPr="0030673B" w:rsidRDefault="0030673B" w:rsidP="00226411">
      <w:pPr>
        <w:ind w:firstLine="720"/>
      </w:pPr>
      <w:r w:rsidRPr="0030673B">
        <w:t xml:space="preserve">When healthcare organizations pay prime importance to the doctor </w:t>
      </w:r>
      <w:proofErr w:type="gramStart"/>
      <w:r w:rsidRPr="0030673B">
        <w:t>services</w:t>
      </w:r>
      <w:proofErr w:type="gramEnd"/>
      <w:r w:rsidRPr="0030673B">
        <w:t xml:space="preserve"> they offer are better able to deliver services that will improve patients’ satisfaction, maintain patient loyalty and thus, create a healthier population. Secondly, high patient satisfaction is also a key success factor in healthcare organizations since </w:t>
      </w:r>
      <w:r w:rsidRPr="0030673B">
        <w:lastRenderedPageBreak/>
        <w:t xml:space="preserve">satisfied patients are guaranteed to bring more loyalty and patronage to healthcare organizations. As the dynamics of developing healthcare structures remain constant, the impact of doctor services on patient experience will remain as a major consideration in establishing and achieving the success of healthcare facilities and the satisfaction of </w:t>
      </w:r>
      <w:proofErr w:type="gramStart"/>
      <w:r w:rsidRPr="0030673B">
        <w:t>patients..</w:t>
      </w:r>
      <w:proofErr w:type="gramEnd"/>
    </w:p>
    <w:p w:rsidR="0030673B" w:rsidRPr="0030673B" w:rsidRDefault="0030673B" w:rsidP="0030673B"/>
    <w:p w:rsidR="0030673B" w:rsidRPr="0030673B" w:rsidRDefault="0030673B" w:rsidP="0030673B">
      <w:pPr>
        <w:rPr>
          <w:bCs/>
        </w:rPr>
      </w:pPr>
      <w:bookmarkStart w:id="221" w:name="_Toc54340734"/>
      <w:bookmarkStart w:id="222" w:name="_Toc56088013"/>
      <w:bookmarkStart w:id="223" w:name="_Toc56088262"/>
      <w:bookmarkStart w:id="224" w:name="_Toc65528097"/>
      <w:r w:rsidRPr="0030673B">
        <w:rPr>
          <w:b/>
          <w:bCs/>
          <w:i/>
          <w:iCs/>
        </w:rPr>
        <w:t>5.3.2</w:t>
      </w:r>
      <w:r w:rsidRPr="0030673B">
        <w:rPr>
          <w:b/>
          <w:bCs/>
          <w:i/>
          <w:iCs/>
        </w:rPr>
        <w:tab/>
        <w:t>H</w:t>
      </w:r>
      <w:r w:rsidRPr="0030673B">
        <w:rPr>
          <w:b/>
          <w:bCs/>
          <w:i/>
          <w:iCs/>
          <w:vertAlign w:val="subscript"/>
        </w:rPr>
        <w:t>2</w:t>
      </w:r>
      <w:r w:rsidRPr="0030673B">
        <w:rPr>
          <w:b/>
          <w:bCs/>
          <w:i/>
          <w:iCs/>
        </w:rPr>
        <w:t xml:space="preserve">: </w:t>
      </w:r>
      <w:bookmarkEnd w:id="221"/>
      <w:bookmarkEnd w:id="222"/>
      <w:bookmarkEnd w:id="223"/>
      <w:bookmarkEnd w:id="224"/>
      <w:r w:rsidRPr="0030673B">
        <w:rPr>
          <w:b/>
          <w:bCs/>
          <w:i/>
          <w:iCs/>
        </w:rPr>
        <w:t>There is a significant relationship between nurses/staff services and patient satisfaction.</w:t>
      </w:r>
    </w:p>
    <w:p w:rsidR="0030673B" w:rsidRPr="0030673B" w:rsidRDefault="0030673B" w:rsidP="0030673B">
      <w:r w:rsidRPr="0030673B">
        <w:tab/>
        <w:t>That is why the results of recent works confirm outstanding positive impacts of positive communication with nurses and the rest of the staff to improve patients’ satisfaction in outpatient Departments. Critic refers indicate that interpersonal factors; including emersion, affection, and communication hospitalized patients’ perceptions and their satisfaction with healthcare services. For instance, in Saudi Arabia, patients’ positive attitude, and staff responsiveness of the nursing department of outpatients’ departments contribute to the building of patient-staff satisfaction.</w:t>
      </w:r>
    </w:p>
    <w:p w:rsidR="0030673B" w:rsidRPr="0030673B" w:rsidRDefault="0030673B" w:rsidP="00226411">
      <w:pPr>
        <w:ind w:firstLine="720"/>
      </w:pPr>
      <w:r w:rsidRPr="0030673B">
        <w:t xml:space="preserve">A breakdown of the results also indicates that there is a positive connection between satisfaction and business operational factors such as service delivery and time. Research also reveals great importance about the nursing and staff services delivery since the informative and patient </w:t>
      </w:r>
      <w:proofErr w:type="spellStart"/>
      <w:r w:rsidRPr="0030673B">
        <w:t>centered</w:t>
      </w:r>
      <w:proofErr w:type="spellEnd"/>
      <w:r w:rsidRPr="0030673B">
        <w:t xml:space="preserve"> services ease the patient experiences. This is especially important in OPDs since </w:t>
      </w:r>
      <w:proofErr w:type="gramStart"/>
      <w:r w:rsidRPr="0030673B">
        <w:t>this settings</w:t>
      </w:r>
      <w:proofErr w:type="gramEnd"/>
      <w:r w:rsidRPr="0030673B">
        <w:t xml:space="preserve"> present numerous challenges to designing patient </w:t>
      </w:r>
      <w:proofErr w:type="spellStart"/>
      <w:r w:rsidRPr="0030673B">
        <w:t>centered</w:t>
      </w:r>
      <w:proofErr w:type="spellEnd"/>
      <w:r w:rsidRPr="0030673B">
        <w:t xml:space="preserve"> care models due to issues including time efficiency and patient throughput. Consequently, patient-clinician communication and clinical appendix as organizational principles that improve the quality of outpatient care and increase satisfaction (Pedro et al., 2023; </w:t>
      </w:r>
      <w:proofErr w:type="spellStart"/>
      <w:r w:rsidRPr="0030673B">
        <w:t>Stefanovska</w:t>
      </w:r>
      <w:proofErr w:type="spellEnd"/>
      <w:r w:rsidRPr="0030673B">
        <w:t xml:space="preserve"> et al., 2023).</w:t>
      </w:r>
    </w:p>
    <w:p w:rsidR="0030673B" w:rsidRPr="0030673B" w:rsidRDefault="0030673B" w:rsidP="00226411">
      <w:pPr>
        <w:ind w:firstLine="720"/>
      </w:pPr>
      <w:r w:rsidRPr="0030673B">
        <w:t xml:space="preserve">The study reveals that many hospitals that increase training for compassionate conversations and proper interaction with the patients, and effective hospital service delivery benefit from satisfied patients, therefore there is the need for the hospitals to ensure that they train their staff to effectively engage and provide the best hospital care to the patients. </w:t>
      </w:r>
    </w:p>
    <w:p w:rsidR="0030673B" w:rsidRPr="0030673B" w:rsidRDefault="0030673B" w:rsidP="00226411">
      <w:pPr>
        <w:ind w:firstLine="720"/>
      </w:pPr>
      <w:r w:rsidRPr="0030673B">
        <w:t>Prior research also proves the proposed hypothesis about increase in nurse and staff services, patient satisfaction, especially in OPDs. Research has found that nurses’ behaviours, that include their attitude, empathy and communication style, contain a major and considerable impact on the level of patient satisfaction a hospital offers and therefore on its possibility to meet its objectives and goals in healthcare delivery.</w:t>
      </w:r>
    </w:p>
    <w:p w:rsidR="0030673B" w:rsidRPr="0030673B" w:rsidRDefault="0030673B" w:rsidP="00226411">
      <w:pPr>
        <w:ind w:firstLine="720"/>
      </w:pPr>
      <w:r w:rsidRPr="0030673B">
        <w:t xml:space="preserve">For instance, Siddiqui et al. (2023) this pointed out that communication by staff members and nurses’ show care improves patient satisfaction among outpatient clients. Nurse’s respect to patient’s voices and recognition gives them positive experience and better satisfaction with the services offered to them. The study also found that after such patient interactions they are always able to feedback to these healthcare providers telling them where to draw improvements which would improve the service </w:t>
      </w:r>
      <w:proofErr w:type="gramStart"/>
      <w:r w:rsidRPr="0030673B">
        <w:t>experience..</w:t>
      </w:r>
      <w:proofErr w:type="gramEnd"/>
    </w:p>
    <w:p w:rsidR="0030673B" w:rsidRPr="0030673B" w:rsidRDefault="0030673B" w:rsidP="00226411">
      <w:pPr>
        <w:ind w:firstLine="720"/>
      </w:pPr>
      <w:r w:rsidRPr="0030673B">
        <w:t xml:space="preserve">Moreover, communication between nurses and patients was identified as a central factor influencing patient perceptions of care. When nurses engage with patients through effective communication—explaining </w:t>
      </w:r>
      <w:r w:rsidRPr="0030673B">
        <w:lastRenderedPageBreak/>
        <w:t xml:space="preserve">medical procedures clearly and showing empathy—patients report higher levels of trust and satisfaction. These findings align with those of studies conducted in Saudi Arabia, where cultural competence and understanding </w:t>
      </w:r>
      <w:proofErr w:type="gramStart"/>
      <w:r w:rsidRPr="0030673B">
        <w:t>patients'</w:t>
      </w:r>
      <w:proofErr w:type="gramEnd"/>
      <w:r w:rsidRPr="0030673B">
        <w:t xml:space="preserve"> needs are essential in enhancing satisfaction levels. Currently, patient satisfaction is not only important for patient well-being but also for the financial performance of healthcare providers (Ferrand et al., 2016).</w:t>
      </w:r>
    </w:p>
    <w:p w:rsidR="0030673B" w:rsidRPr="0030673B" w:rsidRDefault="0030673B" w:rsidP="00226411">
      <w:pPr>
        <w:ind w:firstLine="720"/>
      </w:pPr>
      <w:r w:rsidRPr="0030673B">
        <w:t xml:space="preserve"> Multiple factors can affect patient satisfaction: these include socio-demographic variables, care quality, access and cost of care, and physician role and </w:t>
      </w:r>
      <w:proofErr w:type="spellStart"/>
      <w:r w:rsidRPr="0030673B">
        <w:t>behaviors</w:t>
      </w:r>
      <w:proofErr w:type="spellEnd"/>
      <w:r w:rsidRPr="0030673B">
        <w:t xml:space="preserve">, among others (Naidu, 2007). Dissatisfaction with healthcare services usually occurs when the quality of care received is lower than expected (Tende et al., 2022). This dissatisfaction can influence patient </w:t>
      </w:r>
      <w:proofErr w:type="spellStart"/>
      <w:r w:rsidRPr="0030673B">
        <w:t>behaviors</w:t>
      </w:r>
      <w:proofErr w:type="spellEnd"/>
      <w:r w:rsidRPr="0030673B">
        <w:t xml:space="preserve"> and impact the overall quality of healthcare systems. According to Lee et al. (2010), six categories of negative experiences of patients can lead to dissatisfaction: ineptitude, disrespect, ineffective communication, lack of environmental control, substandard amenities, and prolonged waiting times.</w:t>
      </w:r>
    </w:p>
    <w:p w:rsidR="0030673B" w:rsidRPr="0030673B" w:rsidRDefault="0030673B" w:rsidP="00226411">
      <w:pPr>
        <w:ind w:firstLine="720"/>
      </w:pPr>
      <w:r w:rsidRPr="0030673B">
        <w:t>Training nurses to enhance their interpersonal and communication skills is increasingly seen as a key strategy for improving patient satisfaction. Empowered staff who can provide personalized care contribute significantly to reducing patient anxiety and improving the overall healthcare experience​. Thus, the positive impact of nurse and staff services on patient satisfaction is clear, and continuous improvements in training and service delivery are essential for enhancing patient outcomes in OPDs.</w:t>
      </w:r>
    </w:p>
    <w:p w:rsidR="0030673B" w:rsidRPr="0030673B" w:rsidRDefault="0030673B" w:rsidP="0030673B"/>
    <w:p w:rsidR="0030673B" w:rsidRPr="0030673B" w:rsidRDefault="0030673B" w:rsidP="0030673B">
      <w:pPr>
        <w:rPr>
          <w:b/>
          <w:bCs/>
          <w:i/>
          <w:iCs/>
        </w:rPr>
      </w:pPr>
      <w:bookmarkStart w:id="225" w:name="_Toc54340735"/>
      <w:bookmarkStart w:id="226" w:name="_Toc56088014"/>
      <w:bookmarkStart w:id="227" w:name="_Toc56088263"/>
      <w:r w:rsidRPr="0030673B">
        <w:rPr>
          <w:b/>
          <w:bCs/>
          <w:i/>
          <w:iCs/>
        </w:rPr>
        <w:t>5.3.3</w:t>
      </w:r>
      <w:r w:rsidRPr="0030673B">
        <w:rPr>
          <w:b/>
          <w:bCs/>
          <w:i/>
          <w:iCs/>
        </w:rPr>
        <w:tab/>
        <w:t>H</w:t>
      </w:r>
      <w:r w:rsidRPr="0030673B">
        <w:rPr>
          <w:b/>
          <w:bCs/>
          <w:i/>
          <w:iCs/>
          <w:vertAlign w:val="subscript"/>
        </w:rPr>
        <w:t>3</w:t>
      </w:r>
      <w:r w:rsidRPr="0030673B">
        <w:rPr>
          <w:b/>
          <w:bCs/>
          <w:i/>
          <w:iCs/>
        </w:rPr>
        <w:t xml:space="preserve">: </w:t>
      </w:r>
      <w:bookmarkEnd w:id="225"/>
      <w:bookmarkEnd w:id="226"/>
      <w:bookmarkEnd w:id="227"/>
      <w:r w:rsidRPr="0030673B">
        <w:rPr>
          <w:b/>
          <w:bCs/>
          <w:i/>
          <w:iCs/>
        </w:rPr>
        <w:t>There is a significant relationship between registration/administrative services and patient satisfaction.</w:t>
      </w:r>
    </w:p>
    <w:p w:rsidR="0030673B" w:rsidRPr="0030673B" w:rsidRDefault="0030673B" w:rsidP="0030673B">
      <w:r w:rsidRPr="0030673B">
        <w:tab/>
        <w:t>The current study also shows that factor one, which includes registration and administrative services does not have a correlation with patient satisfaction This is evidenced by both the t-test statistic t = 0.17 and the p = 0.81. Thus, it can be assumed that in the context of this study, factors that have to do with the quality of administrative services</w:t>
      </w:r>
      <w:proofErr w:type="gramStart"/>
      <w:r w:rsidRPr="0030673B">
        <w:t>, ,registration</w:t>
      </w:r>
      <w:proofErr w:type="gramEnd"/>
      <w:r w:rsidRPr="0030673B">
        <w:t xml:space="preserve"> processes, do not influence the perceptions of patient satisfaction with services in healthcare.</w:t>
      </w:r>
    </w:p>
    <w:p w:rsidR="0030673B" w:rsidRPr="0030673B" w:rsidRDefault="0030673B" w:rsidP="00226411">
      <w:pPr>
        <w:ind w:firstLine="720"/>
      </w:pPr>
      <w:r w:rsidRPr="0030673B">
        <w:t xml:space="preserve">The first area that warrants closer scrutiny is that the results do not reveal substantial correlation of registration/administration services with patient satisfaction. In most health care organizations, registration and other administrative processes could be regarded as preliminary tasks that enable the provision of medical services, and may not be directly relevant to the patient experience. This corresponds with the findings of the present study whereby the administrative processes may impair the effectiveness of care delivery system but not heavily influence the perception of patient satisfaction regarding the kind of care they have </w:t>
      </w:r>
      <w:proofErr w:type="gramStart"/>
      <w:r w:rsidRPr="0030673B">
        <w:t>received..</w:t>
      </w:r>
      <w:proofErr w:type="gramEnd"/>
    </w:p>
    <w:p w:rsidR="0030673B" w:rsidRPr="0030673B" w:rsidRDefault="0030673B" w:rsidP="00226411">
      <w:pPr>
        <w:ind w:firstLine="720"/>
      </w:pPr>
      <w:r w:rsidRPr="0030673B">
        <w:t xml:space="preserve">In light of the findings of this study, which suggests that administrative services do not play a crucial role in shaping the </w:t>
      </w:r>
      <w:proofErr w:type="spellStart"/>
      <w:r w:rsidRPr="0030673B">
        <w:t>behavior</w:t>
      </w:r>
      <w:proofErr w:type="spellEnd"/>
      <w:r w:rsidRPr="0030673B">
        <w:t xml:space="preserve"> of patients in this context, it should be noted that previous research has shown mixed results on the correlation between the efficiency of administrative services and patient satisfaction. The </w:t>
      </w:r>
      <w:r w:rsidRPr="0030673B">
        <w:lastRenderedPageBreak/>
        <w:t>impact of administrative services including registration, billing and appointment scheduling on the patient has been examined in several related literature.</w:t>
      </w:r>
    </w:p>
    <w:p w:rsidR="0030673B" w:rsidRPr="0030673B" w:rsidRDefault="0030673B" w:rsidP="00226411">
      <w:pPr>
        <w:ind w:firstLine="720"/>
      </w:pPr>
      <w:r w:rsidRPr="0030673B">
        <w:t>A number of researchers have suggested that high-efficiency in administration services such as quick service delivery, short waiting times, and streamlined registration services can go a long way in enhancing patient satisfaction due to the reduction of stress associated with the accessing health care services (Marais &amp; Noble, 2021). From this view, administration efficiency is approach as a part of operational effectiveness that affects the perceptions of patients in an indirect manner. Such delays or cumbersome procedures may make patients lose their patience, hence affect their patient satisfaction towards the healthcare system. Therefore, according to this approach, administrative services are seen as a functional component that, if done correctly, contributes to enhancing the patient experience.</w:t>
      </w:r>
    </w:p>
    <w:p w:rsidR="0030673B" w:rsidRPr="0030673B" w:rsidRDefault="0030673B" w:rsidP="00226411">
      <w:pPr>
        <w:ind w:firstLine="720"/>
      </w:pPr>
      <w:r w:rsidRPr="0030673B">
        <w:t xml:space="preserve">However, some other studies have suggested that there is an indirect relationship or no relationship between administrative services and satisfaction among patients. As </w:t>
      </w:r>
      <w:proofErr w:type="spellStart"/>
      <w:r w:rsidRPr="0030673B">
        <w:t>Stefanovska</w:t>
      </w:r>
      <w:proofErr w:type="spellEnd"/>
      <w:r w:rsidRPr="0030673B">
        <w:t xml:space="preserve"> and Ilic (2023) noted, effective bureaucratic functioning might enhance the organization of work in the healthcare sector; however, the public is more concerned with the quality of clinical services and interpersonal engagement with medical staff than with administrative issues. This is especially true when patients are receiving treatment such as operations where the patient is more concerned with the quality of care received than the amount of time taken to register or to bill. Siddiqui et al. (2023) also found that in structured and institutionalized hospital environments, processes like registering is considered mundane tasks that do not elicit an emotional or psychological reaction to the health care experience from the </w:t>
      </w:r>
      <w:proofErr w:type="gramStart"/>
      <w:r w:rsidRPr="0030673B">
        <w:t>patient..</w:t>
      </w:r>
      <w:proofErr w:type="gramEnd"/>
    </w:p>
    <w:p w:rsidR="0030673B" w:rsidRPr="0030673B" w:rsidRDefault="0030673B" w:rsidP="00226411">
      <w:pPr>
        <w:ind w:firstLine="720"/>
      </w:pPr>
      <w:r w:rsidRPr="0030673B">
        <w:t>In such cases, administrative activities are assumed to be operational procedures that accompany the rest of the healthcare processes, whereas the first interactions as well as the performance and care given by the physician do contribute more to patient satisfaction. It also correlates with the conclusions drawn in the present research that apparently, the quality of the clinical care provided as well as the relations with the medical staff are crucial to satisfy patients while the bureaucratic performance of the administration, for the most part, remains less significant.</w:t>
      </w:r>
    </w:p>
    <w:p w:rsidR="0030673B" w:rsidRPr="0030673B" w:rsidRDefault="0030673B" w:rsidP="00226411">
      <w:pPr>
        <w:ind w:firstLine="720"/>
      </w:pPr>
      <w:r w:rsidRPr="0030673B">
        <w:t>As addressing the second research question, while no direct connection between registration/administration services and patients’ satisfaction can be concluded in the course of the current research, the acknowledged value of administration services within the overall functioning of healthcare institutions is undeniable. Technological, well-structured administrative services are crucial in facilitating health care provision; the availability of health care services, record keeping and organizing of patient’s appointments. These can have the extended impact in patients’ results as administrative work stoppages can cause a conflict in patients’ treatment.</w:t>
      </w:r>
    </w:p>
    <w:p w:rsidR="0030673B" w:rsidRPr="0030673B" w:rsidRDefault="0030673B" w:rsidP="00226411">
      <w:pPr>
        <w:ind w:firstLine="720"/>
      </w:pPr>
      <w:r w:rsidRPr="0030673B">
        <w:t xml:space="preserve">However, there is growing understanding that the impact on patients is more strongly linked to inputs tied to clinical processes. Instead, people in healthcare facilities care more about the kind of attention delivered by various care givers inclusive of the doctor, nurses among others. Among the main factors influencing </w:t>
      </w:r>
      <w:r w:rsidRPr="0030673B">
        <w:lastRenderedPageBreak/>
        <w:t>patient satisfaction, there are the staff’s communicative competence and the level of professionalism in combined with the individual approach (Marais &amp; Noble, 2021). Furthermore, the interactional paradigms of care include the sort of relationship that is offered by care givers: the extent to which they are warm, responsive and sensitive to the patient’s needs.</w:t>
      </w:r>
    </w:p>
    <w:p w:rsidR="0030673B" w:rsidRPr="0030673B" w:rsidRDefault="0030673B" w:rsidP="00226411">
      <w:pPr>
        <w:ind w:firstLine="720"/>
      </w:pPr>
      <w:r w:rsidRPr="0030673B">
        <w:t xml:space="preserve">This is consistent with the general knowledge that administrational services though vital for carrying out operations of the healthcare delivery system have little impact on patient outcomes compared to the </w:t>
      </w:r>
      <w:proofErr w:type="gramStart"/>
      <w:r w:rsidRPr="0030673B">
        <w:t>quality of service</w:t>
      </w:r>
      <w:proofErr w:type="gramEnd"/>
      <w:r w:rsidRPr="0030673B">
        <w:t xml:space="preserve"> delivery. This view is supported by the present study’s results suggesting that administrative activities like registration do not have the same impact on patient satisfaction as does the clinical services.</w:t>
      </w:r>
    </w:p>
    <w:p w:rsidR="0030673B" w:rsidRPr="0030673B" w:rsidRDefault="0030673B" w:rsidP="00226411">
      <w:pPr>
        <w:ind w:firstLine="720"/>
      </w:pPr>
      <w:r w:rsidRPr="0030673B">
        <w:t xml:space="preserve">In conclusion, therefore, the resultants of this current study imply that; there is no correlation between the registration/administration services and the patient satisfaction in regard to this research. Such a relationship is consistent with earlier research which reported either a positive or no association between administrative services and patient satisfaction. Although there are researches that argue that administrative services directly affect a patient’s satisfaction with a healthcare organization’s performance, they can be considered as the organizational support of the key primary activity – clinical work and communication with patients. The results clarify that patient satisfaction is better associated with the healthcare quality supply instead of administrative procedures. The findings presented in this conclusion suggest that efficiency of clinical and direct and/or personal communication between the patient and a provider is the primary driver of patient satisfaction, while point-of-service organizational factors, although relevant and influential, do not directly affect perception of quality of the provided </w:t>
      </w:r>
      <w:proofErr w:type="gramStart"/>
      <w:r w:rsidRPr="0030673B">
        <w:t>healthcare..</w:t>
      </w:r>
      <w:proofErr w:type="gramEnd"/>
    </w:p>
    <w:p w:rsidR="0030673B" w:rsidRPr="0030673B" w:rsidRDefault="0030673B" w:rsidP="0030673B"/>
    <w:p w:rsidR="0030673B" w:rsidRPr="0030673B" w:rsidRDefault="0030673B" w:rsidP="0030673B">
      <w:pPr>
        <w:rPr>
          <w:bCs/>
          <w:i/>
          <w:iCs/>
        </w:rPr>
      </w:pPr>
      <w:bookmarkStart w:id="228" w:name="_Toc54340736"/>
      <w:bookmarkStart w:id="229" w:name="_Toc56088015"/>
      <w:bookmarkStart w:id="230" w:name="_Toc56088264"/>
      <w:bookmarkStart w:id="231" w:name="_Toc65528099"/>
      <w:r w:rsidRPr="0030673B">
        <w:rPr>
          <w:b/>
          <w:bCs/>
          <w:i/>
          <w:iCs/>
        </w:rPr>
        <w:t>5.3.4</w:t>
      </w:r>
      <w:r w:rsidRPr="0030673B">
        <w:rPr>
          <w:b/>
          <w:bCs/>
          <w:i/>
          <w:iCs/>
        </w:rPr>
        <w:tab/>
        <w:t>H</w:t>
      </w:r>
      <w:r w:rsidRPr="0030673B">
        <w:rPr>
          <w:b/>
          <w:bCs/>
          <w:i/>
          <w:iCs/>
          <w:vertAlign w:val="subscript"/>
        </w:rPr>
        <w:t>4</w:t>
      </w:r>
      <w:r w:rsidRPr="0030673B">
        <w:rPr>
          <w:b/>
          <w:bCs/>
          <w:i/>
          <w:iCs/>
        </w:rPr>
        <w:t>:</w:t>
      </w:r>
      <w:bookmarkEnd w:id="228"/>
      <w:bookmarkEnd w:id="229"/>
      <w:bookmarkEnd w:id="230"/>
      <w:bookmarkEnd w:id="231"/>
      <w:r w:rsidRPr="0030673B">
        <w:rPr>
          <w:b/>
          <w:bCs/>
          <w:i/>
          <w:iCs/>
        </w:rPr>
        <w:t xml:space="preserve"> Effective working schedules and procedures of OPD's services and facilities increase patient satisfaction.</w:t>
      </w:r>
    </w:p>
    <w:p w:rsidR="0030673B" w:rsidRPr="0030673B" w:rsidRDefault="0030673B" w:rsidP="0030673B">
      <w:r w:rsidRPr="0030673B">
        <w:tab/>
        <w:t>The relationship between working schedules and procedures in outpatient departments (Studies have been conducted on the relationship between OPDs and patient satisfaction as the health care providers always look forward to improving service delivery. The lack of an association between the working schedules and procedures of OPD services and patient satisfaction which is suggested by the finding in the current study (t = 0.34, p = 0.76) is something that should be considered in the light of the present literature. Although working schedules and official routines are crucial to preventing disruptive interruptions and improving the overall productivity, their relationship with patients’ satisfaction is not easily determined. In the following section, we will present several of such studies which discuss the nature of this relationship, explore the processes that underlie this connection, and explain why the identified results can be considered consistent with other research in the field.</w:t>
      </w:r>
    </w:p>
    <w:p w:rsidR="0030673B" w:rsidRPr="0030673B" w:rsidRDefault="0030673B" w:rsidP="0030673B">
      <w:r w:rsidRPr="0030673B">
        <w:tab/>
        <w:t xml:space="preserve">In the management of working schedules and service procedures in healthcare especially the outpatient care units, it is very important in order to avoid delays or long waiting time for the patients likewise to maximize the resources that is available. An effective method of organizing work can help to shorten the time </w:t>
      </w:r>
      <w:r w:rsidRPr="0030673B">
        <w:lastRenderedPageBreak/>
        <w:t>it takes for patients to be attended to, assign healthcare workers efficiently and get patients to the appropriate care as soon as possible. Well-planned work schedules and processes have been seen to play essential roles in managing patient’s impatience and improve organizational functions (Kara et al., 2021). However, the relationship between these factors and patient satisfaction is not clear cut.</w:t>
      </w:r>
    </w:p>
    <w:p w:rsidR="0030673B" w:rsidRPr="0030673B" w:rsidRDefault="0030673B" w:rsidP="00D20F1A">
      <w:pPr>
        <w:ind w:firstLine="720"/>
      </w:pPr>
      <w:r w:rsidRPr="0030673B">
        <w:t>From previous literature, it is evident that patient satisfaction depends on the quality of clinical care, relationships, and the environment (Valente et al., 2022, Anokye et al. However, an efficient schedule might not necessarily compensate for patient experience touching upon such issues as the quality of consultation, staff’s friendliness, or presence of the required instruments in the healthcare facility.</w:t>
      </w:r>
    </w:p>
    <w:p w:rsidR="0030673B" w:rsidRPr="0030673B" w:rsidRDefault="0030673B" w:rsidP="00D20F1A">
      <w:pPr>
        <w:ind w:firstLine="720"/>
      </w:pPr>
      <w:r w:rsidRPr="0030673B">
        <w:t>Incidences point to the fact that despite being an influential driver of patient satisfaction, timely service delivery on its own does not guarantee a positive satisfaction. For instance, Jha et al. (2018) and Thakur et al. (2020) showed that improvements in scheduling practices result in decreased wait times implying that they lower patients’ frustration levels. Nevertheless, these improvements in efficiency did not necessarily enhance or lead to higher levels of patient satisfaction unless such patient satisfaction was accompanied by high-quality clinical care and communication.</w:t>
      </w:r>
    </w:p>
    <w:p w:rsidR="0030673B" w:rsidRPr="0030673B" w:rsidRDefault="0030673B" w:rsidP="00D20F1A">
      <w:pPr>
        <w:ind w:firstLine="720"/>
      </w:pPr>
      <w:r w:rsidRPr="0030673B">
        <w:t xml:space="preserve">Jha et al. (2018) conducted a study in the United States and discovered that they reduced the complaints due to long waiting times when healthcare providers used efficient scheduling systems. But their findings also showed that patients remained unhappy if the level of care delivered during the appointment was deemed inadequate. This underscores the notion that although scheduling is an important logistical factor in the delivery of health care, perceived satisfaction may have less to do with logistical arrangements but much more to do with human interactions that occur at the site of health care </w:t>
      </w:r>
      <w:proofErr w:type="gramStart"/>
      <w:r w:rsidRPr="0030673B">
        <w:t>delivery..</w:t>
      </w:r>
      <w:proofErr w:type="gramEnd"/>
    </w:p>
    <w:p w:rsidR="0030673B" w:rsidRPr="0030673B" w:rsidRDefault="0030673B" w:rsidP="00D20F1A">
      <w:pPr>
        <w:ind w:firstLine="720"/>
      </w:pPr>
      <w:r w:rsidRPr="0030673B">
        <w:t>Thakur et al. (2020) also investigated OPD satisfaction in India; they observed that the superior organization of appointments enhanced the elements that led to operational effectiveness but were not always accompanied by patient satisfaction. They pointed the fact that while waiting for a short amount of time is good, it is not the only thing that patients want. The studies showed that endorsed explanations like the professional demeanour of medical staff, perceived capability of the care givers, and the quality of information and advice received matters more to patient satisfaction. This implies that although scheduling may assist in enhancing the physical factors in patient care, it has little influence over satisfaction in case other factors in care delivery are poor.</w:t>
      </w:r>
    </w:p>
    <w:p w:rsidR="0030673B" w:rsidRPr="0030673B" w:rsidRDefault="0030673B" w:rsidP="00D20F1A">
      <w:pPr>
        <w:ind w:firstLine="720"/>
      </w:pPr>
      <w:r w:rsidRPr="0030673B">
        <w:t xml:space="preserve">The extent to which procedures and protocols impact on patient satisfaction is equally convoluted. Optimised administrative functions like registration, billing, and other working functions might also cut wait time and enhance patient experience (Siddiqui et al., 2023). However, the research done by Marais and Noble (2021), as well as by </w:t>
      </w:r>
      <w:proofErr w:type="spellStart"/>
      <w:r w:rsidRPr="0030673B">
        <w:t>Stefanovska</w:t>
      </w:r>
      <w:proofErr w:type="spellEnd"/>
      <w:r w:rsidRPr="0030673B">
        <w:t xml:space="preserve"> and Ilic (2023), have established that often patients consider administrative services as a neutral part of healthcare services. Here patients stated that while some aspects as rapid registration, or swift handling of insurance were valued, they did not influence satisfaction strongly.</w:t>
      </w:r>
    </w:p>
    <w:p w:rsidR="0030673B" w:rsidRPr="0030673B" w:rsidRDefault="0030673B" w:rsidP="00D20F1A">
      <w:pPr>
        <w:ind w:firstLine="720"/>
      </w:pPr>
      <w:r w:rsidRPr="0030673B">
        <w:lastRenderedPageBreak/>
        <w:t>For instance, a study by Marais and Noble (2021) on analysing outpatient clinic services in South Africa have seen that factors such as efficient appointment management do not significantly influence patients’ level of satisfaction. In addition, satisfaction was closely linked with the quality of the clinical consultation, attentiveness of nurses and doctors and the extent of clear information. The authors reported that increasing the efficiency in the flow of patients may not impact the emotional processes of the patient experience as closely as the actual quality of interpersonal care.</w:t>
      </w:r>
    </w:p>
    <w:p w:rsidR="0030673B" w:rsidRPr="0030673B" w:rsidRDefault="0030673B" w:rsidP="00D20F1A">
      <w:pPr>
        <w:ind w:firstLine="720"/>
      </w:pPr>
      <w:r w:rsidRPr="0030673B">
        <w:t xml:space="preserve">In addition, Siddiqui et al. (2023) also investigated the patient experience in outpatient clinics in Saudi Arabia and revealed that operational procedures and working hours were critical for clinic functioning but not for patient satisfaction. In their study, patients gave higher importance to the quality of care they got during the visits, and organizational aspects were not necessarily tied to increased satisfaction. Based on these findings, the authors posited that even though business models might improve the general experience for patients, they stood as minor relevant to the quality of clinical </w:t>
      </w:r>
      <w:proofErr w:type="gramStart"/>
      <w:r w:rsidRPr="0030673B">
        <w:t>encounters..</w:t>
      </w:r>
      <w:proofErr w:type="gramEnd"/>
    </w:p>
    <w:p w:rsidR="0030673B" w:rsidRPr="0030673B" w:rsidRDefault="0030673B" w:rsidP="00D20F1A">
      <w:pPr>
        <w:ind w:firstLine="720"/>
      </w:pPr>
      <w:r w:rsidRPr="0030673B">
        <w:t>Indeed, the level of bureaucracy and patient perception of care across different cultures also determines the level of interaction of the two factors. There are some healthcare settings where similar to countries like Saudi Arabia that enjoys a high demand for health care services, patients may focus on accessibility and openness with some shifts towards clinical adequacy throughout their visit nonetheless putting a premium on the quality of clinical care every time they seek medical treatment (Al-</w:t>
      </w:r>
      <w:proofErr w:type="spellStart"/>
      <w:r w:rsidRPr="0030673B">
        <w:t>Refaie</w:t>
      </w:r>
      <w:proofErr w:type="spellEnd"/>
      <w:r w:rsidRPr="0030673B">
        <w:t xml:space="preserve"> et al., 2022). In these environments, work schedules and other protocols may alleviate wait times, but satisfaction may not improve appreciably if the clinical quality is not considered good.</w:t>
      </w:r>
    </w:p>
    <w:p w:rsidR="0030673B" w:rsidRPr="0030673B" w:rsidRDefault="0030673B" w:rsidP="00D20F1A">
      <w:pPr>
        <w:ind w:firstLine="720"/>
      </w:pPr>
      <w:r w:rsidRPr="0030673B">
        <w:t>According to Al-</w:t>
      </w:r>
      <w:proofErr w:type="spellStart"/>
      <w:r w:rsidRPr="0030673B">
        <w:t>Refaie</w:t>
      </w:r>
      <w:proofErr w:type="spellEnd"/>
      <w:r w:rsidRPr="0030673B">
        <w:t xml:space="preserve"> et al., (2022) Saudi’s patient satisfaction was most significantly defined by medical staff courtesy, quality of care advice, and efficacy of treatments. Efficient administrative processes can be effective for attaining financial </w:t>
      </w:r>
      <w:proofErr w:type="gramStart"/>
      <w:r w:rsidRPr="0030673B">
        <w:t>goals,</w:t>
      </w:r>
      <w:proofErr w:type="gramEnd"/>
      <w:r w:rsidRPr="0030673B">
        <w:t xml:space="preserve"> however, they were depicted not to have significant influence on satisfaction. This is in consonance with the current study whereby though efficiency in working schedules and procedures help to enhance operations, these apparently have no direct bearing in improving the patient </w:t>
      </w:r>
      <w:proofErr w:type="gramStart"/>
      <w:r w:rsidRPr="0030673B">
        <w:t>satisfaction..</w:t>
      </w:r>
      <w:proofErr w:type="gramEnd"/>
    </w:p>
    <w:p w:rsidR="0030673B" w:rsidRPr="0030673B" w:rsidRDefault="0030673B" w:rsidP="00D20F1A">
      <w:pPr>
        <w:ind w:firstLine="720"/>
      </w:pPr>
      <w:r w:rsidRPr="0030673B">
        <w:t>The findings from the current study, which suggest no significant relationship between effective working schedules and procedures in OPDs and patient satisfaction (t = 0.34, p = 0.76), align with a growing body of literature that recognizes the importance of administrative efficiency in healthcare but also highlights the limitations of this factor in directly enhancing patient satisfaction. While effective scheduling and procedures can help reduce wait times and improve operational efficiency, they are not sufficient on their own to increase patient satisfaction if clinical care quality and interpersonal interactions are not equally prioritized.</w:t>
      </w:r>
    </w:p>
    <w:p w:rsidR="0030673B" w:rsidRPr="0030673B" w:rsidRDefault="0030673B" w:rsidP="00D20F1A">
      <w:pPr>
        <w:ind w:firstLine="720"/>
      </w:pPr>
      <w:r w:rsidRPr="0030673B">
        <w:t xml:space="preserve">As demonstrated by Jha et al. (2018), Thakur et al. (2020), and other researchers, the key determinants of patient satisfaction lie in the quality of clinical care, the communication skills of healthcare providers, and the overall emotional experience during a healthcare visit. Efforts to improve patient satisfaction should </w:t>
      </w:r>
      <w:r w:rsidRPr="0030673B">
        <w:lastRenderedPageBreak/>
        <w:t>therefore focus not only on operational efficiency but also on enhancing the quality of patient-provider interactions and the clinical outcomes of treatment.</w:t>
      </w:r>
    </w:p>
    <w:p w:rsidR="0030673B" w:rsidRPr="0030673B" w:rsidRDefault="0030673B" w:rsidP="0030673B">
      <w:pPr>
        <w:rPr>
          <w:bCs/>
          <w:i/>
          <w:iCs/>
        </w:rPr>
      </w:pPr>
      <w:bookmarkStart w:id="232" w:name="_Toc54340737"/>
      <w:bookmarkStart w:id="233" w:name="_Toc56088016"/>
      <w:bookmarkStart w:id="234" w:name="_Toc56088265"/>
      <w:bookmarkStart w:id="235" w:name="_Toc65528100"/>
      <w:r w:rsidRPr="0030673B">
        <w:rPr>
          <w:b/>
          <w:bCs/>
          <w:i/>
          <w:iCs/>
        </w:rPr>
        <w:t>5.3.5</w:t>
      </w:r>
      <w:r w:rsidRPr="0030673B">
        <w:rPr>
          <w:b/>
          <w:bCs/>
          <w:i/>
          <w:iCs/>
        </w:rPr>
        <w:tab/>
        <w:t>H</w:t>
      </w:r>
      <w:r w:rsidRPr="0030673B">
        <w:rPr>
          <w:b/>
          <w:bCs/>
          <w:i/>
          <w:iCs/>
          <w:vertAlign w:val="subscript"/>
        </w:rPr>
        <w:t>5</w:t>
      </w:r>
      <w:r w:rsidRPr="0030673B">
        <w:rPr>
          <w:b/>
          <w:bCs/>
          <w:i/>
          <w:iCs/>
        </w:rPr>
        <w:t xml:space="preserve">: </w:t>
      </w:r>
      <w:bookmarkEnd w:id="232"/>
      <w:bookmarkEnd w:id="233"/>
      <w:bookmarkEnd w:id="234"/>
      <w:r w:rsidRPr="0030673B">
        <w:rPr>
          <w:b/>
          <w:bCs/>
          <w:i/>
          <w:iCs/>
        </w:rPr>
        <w:t xml:space="preserve"> Technology efficiency moderates the relationship between clinical facilities and patient satisfaction.</w:t>
      </w:r>
      <w:bookmarkEnd w:id="235"/>
    </w:p>
    <w:p w:rsidR="0030673B" w:rsidRPr="0030673B" w:rsidRDefault="0030673B" w:rsidP="0030673B">
      <w:r w:rsidRPr="0030673B">
        <w:tab/>
        <w:t>The moderating role of technology efficiency between the clinical facilities and patients’ satisfaction was tested in the current study where the result showed significance (t = 4.49, p = 0.02). This indicates that efficiency of technology used in clinical facilities has a significant influence on the manner in which patients’ satisfaction is affected. In this context, clinical facilities mean the infrastructure, equipment, and healthcare resources of a healthcare setting. Whereas, patient satisfaction can be defined as the perception of the overall experience of the patients depending on the quality of the services, time taken to tender the services and the interaction between the service provider and the patient.</w:t>
      </w:r>
    </w:p>
    <w:p w:rsidR="0030673B" w:rsidRPr="0030673B" w:rsidRDefault="0030673B" w:rsidP="00D20F1A">
      <w:pPr>
        <w:ind w:firstLine="720"/>
      </w:pPr>
      <w:r w:rsidRPr="0030673B">
        <w:t>These findings support the recent studies indicating that health technology has become significant in the delivery of clinical services and the satisfaction of health care consumers. As applied to healthcare, TE refers to the effectiveness in the utilization of the various technological tools, systems and innovations in the delivery of health care where maximum patient requirements and health care outcomes are met within the shortest time possible. Technology efficiency can be argued to moderate the impact of clinical facilities on patient satisfaction, thereby amplifying the aspects to patients’ benefit.</w:t>
      </w:r>
    </w:p>
    <w:p w:rsidR="0030673B" w:rsidRPr="0030673B" w:rsidRDefault="0030673B" w:rsidP="00D20F1A">
      <w:pPr>
        <w:ind w:firstLine="720"/>
      </w:pPr>
      <w:r w:rsidRPr="0030673B">
        <w:t>The incorporation of technology in health services has rapidly evolved and marred the face of health service delivery. Systems such as Electronic Health Records, telemedicine, and sophisticated systems for creating and interpreting medical images have enhanced many clinical tasks and hence have reflected positively when it comes patient care and satisfaction. In the opinion of Zhang et al. (2020), healthcare technology increases the precision and speed of the clinical processes while also augmenting its efficacy through improved interaction between the healthcare providers and the patients.</w:t>
      </w:r>
    </w:p>
    <w:p w:rsidR="0030673B" w:rsidRPr="0030673B" w:rsidRDefault="0030673B" w:rsidP="00D20F1A">
      <w:pPr>
        <w:ind w:firstLine="720"/>
      </w:pPr>
      <w:r w:rsidRPr="0030673B">
        <w:t xml:space="preserve">Healthcare facilities that incorporate newly developing technologies have been perceived to offer efficient services that influence the satisfaction level of the patients. For instance, when clinical staff uses EHR systems to acquire real-time patient data, it becomes easier to make right decisions hence minimizing on mistakes and enhancing patient satisfaction (Heath &amp; Ma, 2019). In addition, technologies like telemedicine enable patients to receive treatments from the comfort of their homes, especially in area such as rural setting and this enhances the patient’s satisfaction </w:t>
      </w:r>
      <w:proofErr w:type="gramStart"/>
      <w:r w:rsidRPr="0030673B">
        <w:t>level..</w:t>
      </w:r>
      <w:proofErr w:type="gramEnd"/>
    </w:p>
    <w:p w:rsidR="0030673B" w:rsidRPr="0030673B" w:rsidRDefault="0030673B" w:rsidP="00D20F1A">
      <w:pPr>
        <w:ind w:firstLine="720"/>
      </w:pPr>
      <w:r w:rsidRPr="0030673B">
        <w:t xml:space="preserve">For the following reasons, the moderating effect of technology efficiency on the correlation between the clinical facilities and the patients’ satisfaction is astounding. First, efficiency can potentially cause </w:t>
      </w:r>
      <w:proofErr w:type="spellStart"/>
      <w:r w:rsidRPr="0030673B">
        <w:t>favorable</w:t>
      </w:r>
      <w:proofErr w:type="spellEnd"/>
      <w:r w:rsidRPr="0030673B">
        <w:t xml:space="preserve"> improvement in the functioning of clinical facilities. For example, when various medical equipment in a hospital facility is modern and well correlated with functional information technologist then the care that patients receive is enhanced in terms of speedy, accuracy, and efficiency. This leads to enhanced clinical performance that impacts patient satisfaction (Zhang et al., 2020).</w:t>
      </w:r>
    </w:p>
    <w:p w:rsidR="0030673B" w:rsidRPr="0030673B" w:rsidRDefault="0030673B" w:rsidP="00D20F1A">
      <w:pPr>
        <w:ind w:firstLine="720"/>
      </w:pPr>
      <w:r w:rsidRPr="0030673B">
        <w:lastRenderedPageBreak/>
        <w:t xml:space="preserve">Also, technology can turn to assist healthcare providers and patients to communicate effectively. Jha et al. (2018) revealed that patients who did not face disruption in electronic communication elements such as patient portals, appointment scheduling systems, and telehealth reported higher satisfaction levels. These technologies enable patients to exercise some measure of control over their </w:t>
      </w:r>
      <w:proofErr w:type="gramStart"/>
      <w:r w:rsidRPr="0030673B">
        <w:t>care ,</w:t>
      </w:r>
      <w:proofErr w:type="gramEnd"/>
      <w:r w:rsidRPr="0030673B">
        <w:t xml:space="preserve"> which enhances feelings of involvement and which are considered essential to the satisfaction felt by a patient .</w:t>
      </w:r>
    </w:p>
    <w:p w:rsidR="0030673B" w:rsidRPr="0030673B" w:rsidRDefault="0030673B" w:rsidP="00D20F1A">
      <w:pPr>
        <w:ind w:firstLine="720"/>
      </w:pPr>
      <w:r w:rsidRPr="0030673B">
        <w:t>In another study by Al-</w:t>
      </w:r>
      <w:proofErr w:type="spellStart"/>
      <w:r w:rsidRPr="0030673B">
        <w:t>Refaie</w:t>
      </w:r>
      <w:proofErr w:type="spellEnd"/>
      <w:r w:rsidRPr="0030673B">
        <w:t xml:space="preserve"> et al. (2022), healthcare technology was found to be of outmost importance in enhancing the delivery of clinical services’ accessibility and effectiveness. Updates such as appointments, test results or treatment plans if communicated early enough, among the patients, satisfaction levels will improve. These technologies shifted some of the roles previously performed by patients and healthcare staff into more efficient channels and hence reduces the overhead of administrative work.</w:t>
      </w:r>
    </w:p>
    <w:p w:rsidR="0030673B" w:rsidRPr="0030673B" w:rsidRDefault="0030673B" w:rsidP="00D20F1A">
      <w:pPr>
        <w:ind w:firstLine="720"/>
      </w:pPr>
      <w:r w:rsidRPr="0030673B">
        <w:t xml:space="preserve">Clinical services which </w:t>
      </w:r>
      <w:proofErr w:type="gramStart"/>
      <w:r w:rsidRPr="0030673B">
        <w:t>includes</w:t>
      </w:r>
      <w:proofErr w:type="gramEnd"/>
      <w:r w:rsidRPr="0030673B">
        <w:t xml:space="preserve"> the physical structures where services are to be offered and resources required to offer the services are core to offering quality health services. The state of medical equipment, qualified personnel, and healthcare services as well as the access to medical services has a great impact of the patient. A study by Gok et al (2021) also revealed that patients are happier if they felt that the clinical facilities were well maintained and equipped.</w:t>
      </w:r>
    </w:p>
    <w:p w:rsidR="0030673B" w:rsidRPr="0030673B" w:rsidRDefault="0030673B" w:rsidP="00D20F1A">
      <w:pPr>
        <w:ind w:firstLine="720"/>
      </w:pPr>
      <w:r w:rsidRPr="0030673B">
        <w:t xml:space="preserve">However, the patient satisfaction does not solely depend on the physical infrastructure of a health facility only. Thus, it is crucial to ensure operational effectiveness in employees’ working schedules, administrative processes and proper use of technologies that allow organization of clinical work. Shamsudin et. </w:t>
      </w:r>
      <w:proofErr w:type="spellStart"/>
      <w:r w:rsidRPr="0030673B">
        <w:t>al</w:t>
      </w:r>
      <w:proofErr w:type="spellEnd"/>
      <w:r w:rsidRPr="0030673B">
        <w:t xml:space="preserve"> in their study conducted in 2022 discovered that patients who were treated in hospitals with modern clinical settings but with low levels of technology revealed low satisfaction metrics. This underscores the need to consider efficiency of technology as a mediator of the relationship between clinical infrastructure and its influence on patient satisfaction.</w:t>
      </w:r>
    </w:p>
    <w:p w:rsidR="0030673B" w:rsidRPr="0030673B" w:rsidRDefault="0030673B" w:rsidP="00D20F1A">
      <w:pPr>
        <w:ind w:firstLine="720"/>
      </w:pPr>
      <w:r w:rsidRPr="0030673B">
        <w:t>Al-Qirim (2020) presented a study which examined ways in which healthcare technology affected patients’ satisfaction in outpatient care and established that technology adoption could further promote outpatient clinical venue perceived quality. Al-Qirim asserted that technological systems helped healthcare facilities diagnose their patients accurately, and treat them as soon as possible – which boosted patient satisfaction. The current study corroborates the above findings by demonstrating that technology efficiency mediates the relationship between clinical facilities and the patients’ satisfaction implying that greater technology efficiency enhances the clinical facilities’ impact on the patients.</w:t>
      </w:r>
    </w:p>
    <w:p w:rsidR="0030673B" w:rsidRPr="0030673B" w:rsidRDefault="0030673B" w:rsidP="00D20F1A">
      <w:pPr>
        <w:ind w:firstLine="720"/>
      </w:pPr>
      <w:r w:rsidRPr="0030673B">
        <w:t>Also, a study by Darzi et al. (2019) made it clear that the application of technology within clinical environments lead to effective management of resources through effective patient care coordination and minimization of mistakes. These enhancements made in clinical output and standard of care lead to increased patient satisfaction. Because technology can improve clinical processes it serves as a moderator because efficacy guarantees that, in addition to high quality facilities patients will also witness efficient functioning of these resources.</w:t>
      </w:r>
    </w:p>
    <w:p w:rsidR="0030673B" w:rsidRPr="0030673B" w:rsidRDefault="0030673B" w:rsidP="0030673B">
      <w:r w:rsidRPr="0030673B">
        <w:lastRenderedPageBreak/>
        <w:tab/>
        <w:t xml:space="preserve">The implications of the current study are very useful to the health care providers and are highlighted below. First, the study supports the idea of investing in technology that could help boost the quality of the actual clinical establishments. Technological solutions, including EMR, telemedicine, and other diagnostics, in health care organisations including hospitals and clinics have the potential for increased better coordinated and patient-centred care. Consequently, the patient satisfaction will also be </w:t>
      </w:r>
      <w:proofErr w:type="gramStart"/>
      <w:r w:rsidRPr="0030673B">
        <w:t>improve</w:t>
      </w:r>
      <w:proofErr w:type="gramEnd"/>
      <w:r w:rsidRPr="0030673B">
        <w:t>.</w:t>
      </w:r>
    </w:p>
    <w:p w:rsidR="0030673B" w:rsidRPr="0030673B" w:rsidRDefault="0030673B" w:rsidP="00D20F1A">
      <w:pPr>
        <w:ind w:firstLine="720"/>
      </w:pPr>
      <w:r w:rsidRPr="0030673B">
        <w:t>Second, other EHR-related observation is that healthcare providers need to enhance the technology efficacy pertaining to the effective functioning of clinical facilities. In this study we found that the association between clinical facilities and patient satisfaction depends on the level of technology successfully implemented in healthcare setting. The moment the providers try to organise their technological systems to make them friendly for both the patient as well as the healthcare staff receives better patient results as well as satisfactory results.</w:t>
      </w:r>
    </w:p>
    <w:p w:rsidR="0030673B" w:rsidRPr="0030673B" w:rsidRDefault="0030673B" w:rsidP="00D20F1A">
      <w:pPr>
        <w:ind w:firstLine="720"/>
      </w:pPr>
      <w:r w:rsidRPr="0030673B">
        <w:t>Therefore, this current study has filled the literature by giving the required insights of moderating role of technology efficiency on clinical facilities and patient satisfaction. The findings (t = 4.49, p = 0.02) confirm that the efficiency of technology magnifies the role of clinical facilities in improving patient satisfaction, which underlines the need for the use of technology in health organisations. In other words, a better coordination of organizational processes, efficient promotion of communication, and the provision of timely information can be highly beneficial to patient results, as supported by healthcare technology investments.</w:t>
      </w:r>
    </w:p>
    <w:p w:rsidR="0030673B" w:rsidRPr="0030673B" w:rsidRDefault="0030673B" w:rsidP="00D20F1A">
      <w:pPr>
        <w:ind w:firstLine="720"/>
      </w:pPr>
      <w:r w:rsidRPr="0030673B">
        <w:t xml:space="preserve">The results are similar to previous research which identifies technology as a key factor that empowered change in healthcare service and patient experience satisfaction (Zhang et al., 2020; Jha et al., 2018; Al-Qirim, 2020). The responsibility for the implementation of technology for maintaining healthcare should remain a priority for the clinical institutions and effective use of technology to support the structure and patients. In conclusion, in the future expansion of the use of health care technologies will remain the focus for the improvement of the quality of services provided and increased patient </w:t>
      </w:r>
      <w:proofErr w:type="gramStart"/>
      <w:r w:rsidRPr="0030673B">
        <w:t>satisfaction..</w:t>
      </w:r>
      <w:proofErr w:type="gramEnd"/>
    </w:p>
    <w:p w:rsidR="0030673B" w:rsidRPr="0030673B" w:rsidRDefault="0030673B" w:rsidP="0030673B">
      <w:pPr>
        <w:rPr>
          <w:b/>
          <w:bCs/>
          <w:i/>
          <w:iCs/>
        </w:rPr>
      </w:pPr>
      <w:bookmarkStart w:id="236" w:name="_Toc54340738"/>
      <w:bookmarkStart w:id="237" w:name="_Toc56088017"/>
      <w:bookmarkStart w:id="238" w:name="_Toc56088266"/>
      <w:bookmarkStart w:id="239" w:name="_Toc65528101"/>
      <w:r w:rsidRPr="0030673B">
        <w:rPr>
          <w:b/>
          <w:bCs/>
          <w:i/>
          <w:iCs/>
        </w:rPr>
        <w:t>5.3.6</w:t>
      </w:r>
      <w:r w:rsidRPr="0030673B">
        <w:rPr>
          <w:b/>
          <w:bCs/>
          <w:i/>
          <w:iCs/>
        </w:rPr>
        <w:tab/>
        <w:t>H</w:t>
      </w:r>
      <w:r w:rsidRPr="0030673B">
        <w:rPr>
          <w:b/>
          <w:bCs/>
          <w:i/>
          <w:iCs/>
          <w:vertAlign w:val="subscript"/>
        </w:rPr>
        <w:t>6</w:t>
      </w:r>
      <w:r w:rsidRPr="0030673B">
        <w:rPr>
          <w:b/>
          <w:bCs/>
          <w:i/>
          <w:iCs/>
        </w:rPr>
        <w:t xml:space="preserve">: </w:t>
      </w:r>
      <w:bookmarkEnd w:id="236"/>
      <w:bookmarkEnd w:id="237"/>
      <w:bookmarkEnd w:id="238"/>
      <w:r w:rsidRPr="0030673B">
        <w:rPr>
          <w:b/>
          <w:bCs/>
          <w:i/>
          <w:iCs/>
        </w:rPr>
        <w:t>There is a significant relationship between efficient HIT integration and patient satisfaction.</w:t>
      </w:r>
      <w:bookmarkEnd w:id="239"/>
    </w:p>
    <w:p w:rsidR="0030673B" w:rsidRPr="0030673B" w:rsidRDefault="0030673B" w:rsidP="00D20F1A">
      <w:pPr>
        <w:ind w:firstLine="720"/>
      </w:pPr>
      <w:r w:rsidRPr="0030673B">
        <w:t>The current study establishes a relationship of acceptation and approval with two hypotheses where the first hypothesis, which affirms positive connection between the degree of integration of Health Information Technology (HIT) and patient satisfaction yields a t-value of 8.26 and a p-value of 0.04. Based on this result, this research established that, there is a significant relationship between the level of compliance of healthcare organisations to adopt HIT systems, and patients’ satisfaction level on the care they perceive. HIT integration means effective incorporation of sophisticated technologies in healthcare facilities such as e—</w:t>
      </w:r>
      <w:proofErr w:type="spellStart"/>
      <w:r w:rsidRPr="0030673B">
        <w:t>healht</w:t>
      </w:r>
      <w:proofErr w:type="spellEnd"/>
      <w:r w:rsidRPr="0030673B">
        <w:t xml:space="preserve"> records, telehealth, CDSS, and patient </w:t>
      </w:r>
      <w:proofErr w:type="spellStart"/>
      <w:r w:rsidRPr="0030673B">
        <w:t>centered</w:t>
      </w:r>
      <w:proofErr w:type="spellEnd"/>
      <w:r w:rsidRPr="0030673B">
        <w:t xml:space="preserve"> tools such as portals.</w:t>
      </w:r>
    </w:p>
    <w:p w:rsidR="0030673B" w:rsidRPr="0030673B" w:rsidRDefault="0030673B" w:rsidP="00D20F1A">
      <w:pPr>
        <w:ind w:firstLine="720"/>
      </w:pPr>
      <w:r w:rsidRPr="0030673B">
        <w:t xml:space="preserve">The findings in this paper corroborate the other literature of the benefits of HIT to patient satisfaction. Numerous studies suggested that the integration of HIT can bring positive changes in the ways health care is delivered in the following ways, the health care provider patients’ communication, health care providers and </w:t>
      </w:r>
      <w:proofErr w:type="gramStart"/>
      <w:r w:rsidRPr="0030673B">
        <w:t>patients</w:t>
      </w:r>
      <w:proofErr w:type="gramEnd"/>
      <w:r w:rsidRPr="0030673B">
        <w:t xml:space="preserve"> medical errors, more accurate and timely diagnosis, and better health care </w:t>
      </w:r>
      <w:proofErr w:type="spellStart"/>
      <w:r w:rsidRPr="0030673B">
        <w:t>centers</w:t>
      </w:r>
      <w:proofErr w:type="spellEnd"/>
      <w:r w:rsidRPr="0030673B">
        <w:t xml:space="preserve"> accessibility among </w:t>
      </w:r>
      <w:r w:rsidRPr="0030673B">
        <w:lastRenderedPageBreak/>
        <w:t>others. All these improvements affect patient satisfaction because different health experiences are now faster, more convenient, and friendly.</w:t>
      </w:r>
    </w:p>
    <w:p w:rsidR="0030673B" w:rsidRPr="0030673B" w:rsidRDefault="0030673B" w:rsidP="0030673B">
      <w:r w:rsidRPr="0030673B">
        <w:tab/>
        <w:t>Another facet of patient satisfaction that is enhanced by integration of HIT is the patients’ care provider communication feature. Patient portals for instance, are applications through which the patient can view their health information, test results, appointment calendars among others and interact with the doctor. Such level of access helps patients, enhances the blessing of the discretion and makes them active in the course of their treatment. Literature has also indicated that patients who are involved in their care receive better satisfaction (Kuhn et al., 2021).</w:t>
      </w:r>
    </w:p>
    <w:p w:rsidR="0030673B" w:rsidRPr="0030673B" w:rsidRDefault="0030673B" w:rsidP="00D20F1A">
      <w:pPr>
        <w:ind w:firstLine="720"/>
      </w:pPr>
      <w:r w:rsidRPr="0030673B">
        <w:t>In an empirical survey conducted by Yoo and Lee in 2018, the patient relation with patient portals and telemedicine applications has enhanced the level of satisfaction among patients. These platforms also enable the patients to have more and convenient contact with their healthcare providers, thus improving the patient satisfaction. Self-reported patient satisfaction has been higher by 76% from patients of healthcare providers who adopted the use of patient engagement technologies, especially those that enhanced faster or easier exchange of information (AHA, 2020</w:t>
      </w:r>
      <w:proofErr w:type="gramStart"/>
      <w:r w:rsidRPr="0030673B">
        <w:t>)..</w:t>
      </w:r>
      <w:proofErr w:type="gramEnd"/>
    </w:p>
    <w:p w:rsidR="0030673B" w:rsidRPr="0030673B" w:rsidRDefault="0030673B" w:rsidP="00D20F1A">
      <w:pPr>
        <w:ind w:firstLine="720"/>
      </w:pPr>
      <w:r w:rsidRPr="0030673B">
        <w:t>Moreover, through integration of HIT it is possible to have the HF teams communicate in real time resulting in significantly faster decision making as well as better co-ordination. It also reduces the communication delays, and the free flow of information, which directly improves the quality of care, thus patient satisfaction (Berg, 2019). The other pronounced outcome of integration of HIT is potential for decrease in medical errors and enhancement of safety for the patients. From this, the use of systems like the EHR reduces cases like prescription errors or failure to note possible interaction between different drugs, poor documentation of patient records. Baker et al., (2018) conducted a study and found that the hospitals which deployed EHR systems indicated lower incidences of medication order errors, adverse drug reactions and retesting. These improvements in patient safety should be very important to patients because patients will be more confident with the healthcare provider if they know their safety is valued.</w:t>
      </w:r>
    </w:p>
    <w:p w:rsidR="0030673B" w:rsidRPr="0030673B" w:rsidRDefault="0030673B" w:rsidP="00D20F1A">
      <w:pPr>
        <w:ind w:firstLine="720"/>
      </w:pPr>
      <w:r w:rsidRPr="0030673B">
        <w:t xml:space="preserve">Additionally, Clinical Decision Support Systems (CDSS) implemented in EHRs offer clinicians best practices treatment advice, </w:t>
      </w:r>
      <w:proofErr w:type="gramStart"/>
      <w:r w:rsidRPr="0030673B">
        <w:t>In</w:t>
      </w:r>
      <w:proofErr w:type="gramEnd"/>
      <w:r w:rsidRPr="0030673B">
        <w:t xml:space="preserve"> this manner, they promote and increase clinical decision-making accuracy and, ultimately, reduce errors and enhance the quality of care. This is essential in order to provide the most effective treatment to the patients; and </w:t>
      </w:r>
      <w:proofErr w:type="gramStart"/>
      <w:r w:rsidRPr="0030673B">
        <w:t>thus</w:t>
      </w:r>
      <w:proofErr w:type="gramEnd"/>
      <w:r w:rsidRPr="0030673B">
        <w:t xml:space="preserve"> assure satisfaction among the patients.</w:t>
      </w:r>
    </w:p>
    <w:p w:rsidR="0030673B" w:rsidRPr="0030673B" w:rsidRDefault="0030673B" w:rsidP="00D20F1A">
      <w:pPr>
        <w:ind w:firstLine="720"/>
      </w:pPr>
      <w:r w:rsidRPr="0030673B">
        <w:t xml:space="preserve">Integration also makes the delivery of healthcare services more accessible and convenient – many patient satisfaction indicators. Hence, telemedicine, for instance, is an opportunity for patients to have a word with the doctors without having to physically move or also spend time on a car intending to arrive at healthcare facilities that are situated in remote or hard to reach regions of the </w:t>
      </w:r>
      <w:proofErr w:type="spellStart"/>
      <w:r w:rsidRPr="0030673B">
        <w:t>countrysides</w:t>
      </w:r>
      <w:proofErr w:type="spellEnd"/>
      <w:r w:rsidRPr="0030673B">
        <w:t>. According to Smithet al., 2020, patients who engaged in the telemedicine service delivery system said that their experience was satisfactory because of flexibility in service delivery.</w:t>
      </w:r>
    </w:p>
    <w:p w:rsidR="0030673B" w:rsidRPr="0030673B" w:rsidRDefault="0030673B" w:rsidP="00D20F1A">
      <w:pPr>
        <w:ind w:firstLine="720"/>
      </w:pPr>
      <w:r w:rsidRPr="0030673B">
        <w:lastRenderedPageBreak/>
        <w:t xml:space="preserve">Furthermore, more and more EHR systems facilitate the flow of patient information among different departments specialized in treating various diseases or among HealthCare organizations. It has the advantage of giving </w:t>
      </w:r>
      <w:proofErr w:type="spellStart"/>
      <w:r w:rsidRPr="0030673B">
        <w:t>patientsa</w:t>
      </w:r>
      <w:proofErr w:type="spellEnd"/>
      <w:r w:rsidRPr="0030673B">
        <w:t xml:space="preserve"> closer, more contiguous care that is valuable when they are suffering from conditions that demand consistent check-ups. Co-ordinate exchange of information between providers has a positive impact on patient care, environmental care and enhances patient satisfaction (Smith et al., 2020).</w:t>
      </w:r>
    </w:p>
    <w:p w:rsidR="0030673B" w:rsidRPr="0030673B" w:rsidRDefault="0030673B" w:rsidP="00D20F1A">
      <w:pPr>
        <w:ind w:firstLine="720"/>
      </w:pPr>
      <w:r w:rsidRPr="0030673B">
        <w:t>A growing body of research has confirmed the association between the integration of HIT and patient satisfaction over the recent past. For example, Al-</w:t>
      </w:r>
      <w:proofErr w:type="spellStart"/>
      <w:r w:rsidRPr="0030673B">
        <w:t>Shorbaji</w:t>
      </w:r>
      <w:proofErr w:type="spellEnd"/>
      <w:r w:rsidRPr="0030673B">
        <w:t xml:space="preserve"> et al. (2019) established that primary care practices that adopted EHR systems reported a positive shift in patient satisfaction because of improved access to information and timely response associated with the technology enhancement of the care coordination. There were also more patients willing to trust the doctors and follow their prescriptions, as EHR help to create individual approaches and avoid mistakes.</w:t>
      </w:r>
    </w:p>
    <w:p w:rsidR="0030673B" w:rsidRPr="0030673B" w:rsidRDefault="0030673B" w:rsidP="00D20F1A">
      <w:pPr>
        <w:ind w:firstLine="720"/>
      </w:pPr>
      <w:r w:rsidRPr="0030673B">
        <w:t>In the same way, Neves et al. (2021) also confirmed that patient experience gains from the adoption of HIT in healthcare facilities. The authors stressed that introducing EHRs, patient portals, and telemedicine platforms, the efficiency of operations was increased and patient satisfaction</w:t>
      </w:r>
      <w:r w:rsidR="00D20F1A">
        <w:t xml:space="preserve"> </w:t>
      </w:r>
      <w:r w:rsidRPr="0030673B">
        <w:t xml:space="preserve">was also higher. Patients particularly like to get access to their medical records </w:t>
      </w:r>
      <w:proofErr w:type="spellStart"/>
      <w:r w:rsidRPr="0030673B">
        <w:t>andược</w:t>
      </w:r>
      <w:proofErr w:type="spellEnd"/>
      <w:r w:rsidRPr="0030673B">
        <w:t xml:space="preserve"> permitted to interact with their doctors and other healthcare professionals through on-line messaging systems that made them feeling more informed and empowered.</w:t>
      </w:r>
    </w:p>
    <w:p w:rsidR="0030673B" w:rsidRPr="0030673B" w:rsidRDefault="0030673B" w:rsidP="00D20F1A">
      <w:pPr>
        <w:ind w:firstLine="720"/>
      </w:pPr>
      <w:r w:rsidRPr="0030673B">
        <w:t>In addition, Jha et al. (2018) revealed that patients from healthcare organisations that were successful at the implementation of such systems reported better scores in satisfaction. The study has posited this improvement in terms of advancement of communication, accessibility, and safety that technology introduced in health facilities. Further, the study established that patients who said that they used electronic tools to communicate with their providers, were more likely to express satisfaction with the general quality of services received.</w:t>
      </w:r>
    </w:p>
    <w:p w:rsidR="0030673B" w:rsidRPr="0030673B" w:rsidRDefault="0030673B" w:rsidP="00D20F1A">
      <w:pPr>
        <w:ind w:firstLine="720"/>
      </w:pPr>
      <w:r w:rsidRPr="0030673B">
        <w:t xml:space="preserve">HIT integration also contributes to improvement in healthcare systems thus making the patient satisfaction an indirect factor. Greenhalgh et al 2020 also asked providers on their views on the impact of the adoption of HIT system and the study noted that HIT system had enhanced effectiveness because of the automation of work tasks including patient appointments, billing, and registration. These administrative burdens alleviate allow for a more optimal amount of attention to be focused on </w:t>
      </w:r>
      <w:proofErr w:type="gramStart"/>
      <w:r w:rsidRPr="0030673B">
        <w:t>patients</w:t>
      </w:r>
      <w:proofErr w:type="gramEnd"/>
      <w:r w:rsidRPr="0030673B">
        <w:t xml:space="preserve"> satisfaction for healthcare providers. They receive improved quality of care from providers who act more efficiently, spend more time with every patient, and don’t make them </w:t>
      </w:r>
      <w:proofErr w:type="gramStart"/>
      <w:r w:rsidRPr="0030673B">
        <w:t>wait..</w:t>
      </w:r>
      <w:proofErr w:type="gramEnd"/>
    </w:p>
    <w:p w:rsidR="0030673B" w:rsidRPr="0030673B" w:rsidRDefault="0030673B" w:rsidP="00D20F1A">
      <w:pPr>
        <w:ind w:firstLine="720"/>
      </w:pPr>
      <w:r w:rsidRPr="0030673B">
        <w:t>On the same note, HIT systems facilitate improved patient information management, which leads to better coordination of care. Studies conducted by Rojas et al. (2022) has found that healthcare organizations that implemented use of the HIT systems saw improved care coordination especially in patient with multiple chronic conditions. This integrated approach had a significant positive impact on clinical quality, but also patients perceived they receiving more care and explanation.</w:t>
      </w:r>
    </w:p>
    <w:p w:rsidR="0030673B" w:rsidRPr="0030673B" w:rsidRDefault="0030673B" w:rsidP="00D20F1A">
      <w:pPr>
        <w:ind w:firstLine="720"/>
      </w:pPr>
      <w:r w:rsidRPr="0030673B">
        <w:lastRenderedPageBreak/>
        <w:t>Therefore, the results of this study highlighting the positive and statistically significant correlation between the use of HIT integration and the level of patient satisfaction (t=8.26, p= 0.04) support the hypothesis of the role of new technologies in the healthcare sector as potential drivers of patient satisfaction. For these reasons, the implementation of HIT contributes to positive outcomes of communication that includes minimized medical mistakes, increased healthcare services utilization, and more effective clinical processes, which increase patient satisfaction in the end.</w:t>
      </w:r>
    </w:p>
    <w:p w:rsidR="0030673B" w:rsidRPr="0030673B" w:rsidRDefault="0030673B" w:rsidP="00D20F1A">
      <w:pPr>
        <w:ind w:firstLine="720"/>
      </w:pPr>
      <w:r w:rsidRPr="0030673B">
        <w:t xml:space="preserve">HIT systems remain a critical aspect of the healthcare organizations and these organizations must make efforts to invest in the systems and improve on their effectiveness and usability by the end users, which are the caregivers and patients respectively. Looking at the future, adoption and implementation of technology in enhancing patient satisfaction is expected to become more relevant. In essence, through the use of HIT, healthcare providers are in a position to provide more client-tailored, effective, and convenient care with desirable patient finishes and higher levels of patient </w:t>
      </w:r>
      <w:proofErr w:type="gramStart"/>
      <w:r w:rsidRPr="0030673B">
        <w:t>satisfaction..</w:t>
      </w:r>
      <w:proofErr w:type="gramEnd"/>
    </w:p>
    <w:p w:rsidR="0030673B" w:rsidRPr="0030673B" w:rsidRDefault="0030673B" w:rsidP="0030673B">
      <w:pPr>
        <w:rPr>
          <w:b/>
          <w:bCs/>
        </w:rPr>
      </w:pPr>
      <w:bookmarkStart w:id="240" w:name="_Toc54340745"/>
      <w:bookmarkStart w:id="241" w:name="_Toc56088024"/>
      <w:bookmarkStart w:id="242" w:name="_Toc56088273"/>
      <w:bookmarkStart w:id="243" w:name="_Toc65528108"/>
      <w:r w:rsidRPr="0030673B">
        <w:rPr>
          <w:b/>
          <w:bCs/>
        </w:rPr>
        <w:t xml:space="preserve">5.5 </w:t>
      </w:r>
      <w:r w:rsidRPr="0030673B">
        <w:rPr>
          <w:b/>
          <w:bCs/>
        </w:rPr>
        <w:tab/>
        <w:t>SUMMARY OF THE DISCUSSION ON THE HYPOTHESIS TESTING</w:t>
      </w:r>
      <w:bookmarkEnd w:id="240"/>
      <w:bookmarkEnd w:id="241"/>
      <w:bookmarkEnd w:id="242"/>
      <w:bookmarkEnd w:id="243"/>
    </w:p>
    <w:p w:rsidR="0030673B" w:rsidRPr="0030673B" w:rsidRDefault="0030673B" w:rsidP="00D20F1A">
      <w:pPr>
        <w:ind w:firstLine="720"/>
      </w:pPr>
      <w:r w:rsidRPr="0030673B">
        <w:t>Based on the above-mentioned relationships and factors responsible for healthcare services in the OPD, the present study intended to test six hypothesized relationships. Some of the hypotheses to be tested involved doctor services, nurse and staff services, registration and administration services, working schedules/ procedures, clinical facilities and HI Technology integration and patient satisfaction. The following section presents the results of the hypothesis testing along with the implications for the healthcare system.</w:t>
      </w:r>
    </w:p>
    <w:p w:rsidR="0030673B" w:rsidRPr="0030673B" w:rsidRDefault="0030673B" w:rsidP="00D20F1A">
      <w:pPr>
        <w:ind w:firstLine="720"/>
      </w:pPr>
      <w:r w:rsidRPr="0030673B">
        <w:t xml:space="preserve">The first hypothesis assumed a positive and significant correlation between the doctor services and patients’ satisfaction levels. This hypothesis was strongly supported with the observed result of a positive relationship between the quality of doctor service and patient satisfaction t = 4.12 p ≤ 0.03. This is consistent with earlier studies, which posit that the content and process of doctors’ actions, including communication and interpersonal treatment, determine patients’ satisfaction levels (Huang et al., 2014; </w:t>
      </w:r>
      <w:proofErr w:type="spellStart"/>
      <w:r w:rsidRPr="0030673B">
        <w:t>Altuntas</w:t>
      </w:r>
      <w:proofErr w:type="spellEnd"/>
      <w:r w:rsidRPr="0030673B">
        <w:t xml:space="preserve"> et al., 2018). Physicians are in a position to influence patient satisfaction since when patients trust and feel at ease with the doctor, they have better outcomes in terms of compliance to medical advice.</w:t>
      </w:r>
    </w:p>
    <w:p w:rsidR="0030673B" w:rsidRPr="0030673B" w:rsidRDefault="0030673B" w:rsidP="00D20F1A">
      <w:pPr>
        <w:ind w:firstLine="720"/>
      </w:pPr>
      <w:r w:rsidRPr="0030673B">
        <w:t xml:space="preserve">The second hypothesis about the correlation of nurse and staff services with patients’ satisfaction was also considered. They obtained the positive result for the hypothesis, t = 3.90; p = 0.21, suggesting that the staff </w:t>
      </w:r>
      <w:proofErr w:type="spellStart"/>
      <w:r w:rsidRPr="0030673B">
        <w:t>behavior</w:t>
      </w:r>
      <w:proofErr w:type="spellEnd"/>
      <w:r w:rsidRPr="0030673B">
        <w:t xml:space="preserve"> and professionalism of the nurses and support staff significantly influence the perception of the care given to the patients. Having a well-trained and empathetic healthcare team and help ensure patients’ wishes and expectations are met in relation to communication and emotional support (Siddiqui et al., 2023; Marais &amp; Noble, 2021). Studies have shown that patients’ satisfaction rises when they feel that the staff in the healthcare facility is attentive to them, which supports the notion that nurses and other ancillary staff are central to the provision of healthcare services.</w:t>
      </w:r>
    </w:p>
    <w:p w:rsidR="0030673B" w:rsidRPr="0030673B" w:rsidRDefault="0030673B" w:rsidP="00D20F1A">
      <w:pPr>
        <w:ind w:firstLine="720"/>
      </w:pPr>
      <w:r w:rsidRPr="0030673B">
        <w:t xml:space="preserve">The third hypothesis tested involved the correlation between registration/administration services and patient satisfaction. Further, the results showed that independent variable have a non-significant correlation </w:t>
      </w:r>
      <w:r w:rsidRPr="0030673B">
        <w:lastRenderedPageBreak/>
        <w:t>with the dependent variable (t = 0.17, p = 0.81) meaning that administrative formalities like registration have little to no impact on the patient satisfaction in this case. Although there are some papers claiming that effective administrative services could enhance patient satisfaction through the reduction of waiting times and related frustration (</w:t>
      </w:r>
      <w:proofErr w:type="spellStart"/>
      <w:r w:rsidRPr="0030673B">
        <w:t>Stefanovska</w:t>
      </w:r>
      <w:proofErr w:type="spellEnd"/>
      <w:r w:rsidRPr="0030673B">
        <w:t xml:space="preserve"> &amp; Ilic, 2023), the current study’s outcomes would rather indicate that patients focus more on medical treatment than administrative procedures. This is in line with the current studies that suggest that administrative services may be perceived as non-service activities within efficient healthcare systems where the quality of clinical care defines patient satisfaction (Siddiqui et al., 2023</w:t>
      </w:r>
      <w:proofErr w:type="gramStart"/>
      <w:r w:rsidRPr="0030673B">
        <w:t>)..</w:t>
      </w:r>
      <w:proofErr w:type="gramEnd"/>
    </w:p>
    <w:p w:rsidR="0030673B" w:rsidRPr="0030673B" w:rsidRDefault="0030673B" w:rsidP="00D20F1A">
      <w:pPr>
        <w:ind w:firstLine="720"/>
      </w:pPr>
      <w:r w:rsidRPr="0030673B">
        <w:t xml:space="preserve">The fourth hypothesis investigated whether working schedules and procedures of OPD services applied an impact on patients’ satisfaction. Working schedule and procedural aspects, therefore, do not moderately correlate with patient satisfaction as reflected by the correlation coefficient t = 0.34, p = 0.76. This is in line with some of the findings advanced by other scholars that downplay the role of operation factors such as scheduling in clinical care (Siddiqui et al., 2023). Even though the organization of services could create a positive image of care delivery and thus help improve patient experience, the proposed analysis </w:t>
      </w:r>
      <w:proofErr w:type="gramStart"/>
      <w:r w:rsidRPr="0030673B">
        <w:t>reveal</w:t>
      </w:r>
      <w:proofErr w:type="gramEnd"/>
      <w:r w:rsidRPr="0030673B">
        <w:t xml:space="preserve"> s that other factors could overshadow the scheduling effect in the context of SC, including actual interactions between the patient and the healthcare provider and other staff.</w:t>
      </w:r>
    </w:p>
    <w:p w:rsidR="0030673B" w:rsidRPr="0030673B" w:rsidRDefault="0030673B" w:rsidP="00D20F1A">
      <w:pPr>
        <w:ind w:firstLine="720"/>
      </w:pPr>
      <w:r w:rsidRPr="0030673B">
        <w:t xml:space="preserve">The fifth hypothesis concerned the association between the percentage of clinical facilities and the patient satisfaction level. These have shown that there is positive relationship between </w:t>
      </w:r>
      <w:proofErr w:type="spellStart"/>
      <w:r w:rsidRPr="0030673B">
        <w:t>well equipped</w:t>
      </w:r>
      <w:proofErr w:type="spellEnd"/>
      <w:r w:rsidRPr="0030673B">
        <w:t xml:space="preserve"> and good maintained clinical facilities and patients’ satisfaction (t = 4.49, p = 0.02). Studies reinforce the realisation that quality healthcare facilities, technology like </w:t>
      </w:r>
      <w:proofErr w:type="gramStart"/>
      <w:r w:rsidRPr="0030673B">
        <w:t>up to date</w:t>
      </w:r>
      <w:proofErr w:type="gramEnd"/>
      <w:r w:rsidRPr="0030673B">
        <w:t xml:space="preserve"> advanced equipment, neat environment, and comfortable areas enhance patients’ experiences, thereby enhancing patient’s confidence in the care offered (Rasouli &amp; Zarei, 2015). This result stresses the fact of raising clinical investment as one of the possibilities to enhance the patient experience.</w:t>
      </w:r>
    </w:p>
    <w:p w:rsidR="0030673B" w:rsidRPr="0030673B" w:rsidRDefault="0030673B" w:rsidP="00D20F1A">
      <w:pPr>
        <w:ind w:firstLine="720"/>
      </w:pPr>
      <w:r w:rsidRPr="0030673B">
        <w:t>The last proposed hypothesis examined the mediating role of HIT integration in the interaction between clinical facilities and patient satisfaction. This suggested a positiveness of relationship of (t = 8.26, p = 0.04) which means that the integration of HIT boosts the satisfaction of the patient when it interfaces with clinical facilities. The use of HIT such as EHR and telemedicine was found to advance communication and reduce process failures that invariably has impact on patients’ development and satisfaction (Huang et al., 2014). The findings of this study corroborate with the current literature arguing the positive impact of HIT in today’s healthcare systems to help produce better, efficient, and accessible, and patient-</w:t>
      </w:r>
      <w:proofErr w:type="spellStart"/>
      <w:r w:rsidRPr="0030673B">
        <w:t>centered</w:t>
      </w:r>
      <w:proofErr w:type="spellEnd"/>
      <w:r w:rsidRPr="0030673B">
        <w:t xml:space="preserve"> </w:t>
      </w:r>
      <w:proofErr w:type="gramStart"/>
      <w:r w:rsidRPr="0030673B">
        <w:t>care..</w:t>
      </w:r>
      <w:proofErr w:type="gramEnd"/>
    </w:p>
    <w:p w:rsidR="0030673B" w:rsidRPr="0030673B" w:rsidRDefault="0030673B" w:rsidP="0030673B">
      <w:pPr>
        <w:rPr>
          <w:b/>
          <w:bCs/>
        </w:rPr>
      </w:pPr>
      <w:bookmarkStart w:id="244" w:name="_Toc54340746"/>
      <w:bookmarkStart w:id="245" w:name="_Toc56088025"/>
      <w:bookmarkStart w:id="246" w:name="_Toc56088274"/>
      <w:bookmarkStart w:id="247" w:name="_Toc65528109"/>
      <w:r w:rsidRPr="0030673B">
        <w:rPr>
          <w:b/>
          <w:bCs/>
        </w:rPr>
        <w:t>5.6</w:t>
      </w:r>
      <w:r w:rsidRPr="0030673B">
        <w:rPr>
          <w:b/>
          <w:bCs/>
        </w:rPr>
        <w:tab/>
        <w:t>SOLVING THE RESEARCH PROBLEM</w:t>
      </w:r>
      <w:bookmarkEnd w:id="244"/>
      <w:bookmarkEnd w:id="245"/>
      <w:bookmarkEnd w:id="246"/>
      <w:bookmarkEnd w:id="247"/>
    </w:p>
    <w:p w:rsidR="0030673B" w:rsidRPr="0030673B" w:rsidRDefault="0030673B" w:rsidP="0030673B">
      <w:r w:rsidRPr="0030673B">
        <w:tab/>
        <w:t xml:space="preserve">The research problem in this study is focused around the factors affecting patient satisfaction in the OPD context and requires identifying how specific aspects of healthcare services like doctor services, nurse/staff services, registration and </w:t>
      </w:r>
      <w:proofErr w:type="spellStart"/>
      <w:r w:rsidRPr="0030673B">
        <w:t>admistration</w:t>
      </w:r>
      <w:proofErr w:type="spellEnd"/>
      <w:r w:rsidRPr="0030673B">
        <w:t xml:space="preserve"> services, operation schedule, clinical facility, and HIMT integration impact on patients’ satisfaction. The focus of the study is to </w:t>
      </w:r>
      <w:proofErr w:type="spellStart"/>
      <w:r w:rsidRPr="0030673B">
        <w:t>analyze</w:t>
      </w:r>
      <w:proofErr w:type="spellEnd"/>
      <w:r w:rsidRPr="0030673B">
        <w:t xml:space="preserve"> whether enhancing these variables will lead to the enhancement of total satisfaction among the patients in health care </w:t>
      </w:r>
      <w:proofErr w:type="gramStart"/>
      <w:r w:rsidRPr="0030673B">
        <w:t>organizations..</w:t>
      </w:r>
      <w:proofErr w:type="gramEnd"/>
    </w:p>
    <w:p w:rsidR="0030673B" w:rsidRPr="0030673B" w:rsidRDefault="0030673B" w:rsidP="00D20F1A">
      <w:pPr>
        <w:ind w:firstLine="720"/>
      </w:pPr>
      <w:r w:rsidRPr="0030673B">
        <w:lastRenderedPageBreak/>
        <w:t>The study found no significant relationship between registration and administration services and patient satisfaction, as indicated by the low t-value (t = 0.17, p = 0.81). This result suggests that administrative factors like registration procedures, while important for operational efficiency, do not have a direct influence on patient satisfaction. To address this, healthcare systems may need to prioritize clinical care and patient interactions over administrative processes. However, it's essential for hospitals to improve administrative services in terms of efficiency, to streamline patient flow and minimize inconvenience, without assuming these will directly translate into higher satisfaction scores.</w:t>
      </w:r>
    </w:p>
    <w:p w:rsidR="0030673B" w:rsidRPr="0030673B" w:rsidRDefault="0030673B" w:rsidP="00D20F1A">
      <w:pPr>
        <w:ind w:firstLine="720"/>
      </w:pPr>
      <w:r w:rsidRPr="0030673B">
        <w:t>Research suggests that the perception of administrative services is often neutral unless issues arise (</w:t>
      </w:r>
      <w:proofErr w:type="spellStart"/>
      <w:r w:rsidRPr="0030673B">
        <w:t>Stefanovska</w:t>
      </w:r>
      <w:proofErr w:type="spellEnd"/>
      <w:r w:rsidRPr="0030673B">
        <w:t xml:space="preserve"> &amp; Ilic, 2023). Even though efficient administrative processes contribute to the overall healthcare experience, patient satisfaction in outpatient settings is more strongly correlated with direct clinical experiences. Enhancing administrative systems, therefore, should be seen as a means of improving overall operational efficiency but not as a primary driver of patient satisfaction.</w:t>
      </w:r>
    </w:p>
    <w:p w:rsidR="0030673B" w:rsidRPr="0030673B" w:rsidRDefault="0030673B" w:rsidP="00D20F1A">
      <w:pPr>
        <w:ind w:firstLine="720"/>
      </w:pPr>
      <w:r w:rsidRPr="0030673B">
        <w:t xml:space="preserve">One of the strongest findings in the study was the significant relationship between doctor services and patient satisfaction (t = 4.12, p = 0.03). This underscores the critical role that doctors play in influencing patient experiences. Previous studies highlight that patient satisfaction is directly impacted by the quality of doctor-patient communication, the empathy demonstrated by doctors, and the time and attention given to patients (Huang et al., 2014; </w:t>
      </w:r>
      <w:proofErr w:type="spellStart"/>
      <w:r w:rsidRPr="0030673B">
        <w:t>Altuntas</w:t>
      </w:r>
      <w:proofErr w:type="spellEnd"/>
      <w:r w:rsidRPr="0030673B">
        <w:t xml:space="preserve"> et al., 2018). Doctor services, therefore, are crucial to improving patient satisfaction in healthcare settings.</w:t>
      </w:r>
    </w:p>
    <w:p w:rsidR="0030673B" w:rsidRPr="0030673B" w:rsidRDefault="0030673B" w:rsidP="00D20F1A">
      <w:pPr>
        <w:ind w:firstLine="720"/>
      </w:pPr>
      <w:r w:rsidRPr="0030673B">
        <w:t>To solve the research problem effectively, healthcare institutions should focus on enhancing the communication skills and empathy of doctors. Training programs that emphasize patient-</w:t>
      </w:r>
      <w:proofErr w:type="spellStart"/>
      <w:r w:rsidRPr="0030673B">
        <w:t>centered</w:t>
      </w:r>
      <w:proofErr w:type="spellEnd"/>
      <w:r w:rsidRPr="0030673B">
        <w:t xml:space="preserve"> care can improve interactions and ensure patients feel heard and valued. Additionally, ensuring that doctors are well-versed in both medical knowledge and interpersonal skills would contribute significantly to overall patient satisfaction.</w:t>
      </w:r>
    </w:p>
    <w:p w:rsidR="0030673B" w:rsidRPr="0030673B" w:rsidRDefault="0030673B" w:rsidP="00D20F1A">
      <w:pPr>
        <w:ind w:firstLine="720"/>
      </w:pPr>
      <w:r w:rsidRPr="0030673B">
        <w:t>Likewise, the correlation between nurse/staff services and patient’s satisfaction was found positive (t = 3.90, p = 0.21), which underscore the role of the multi-disciplinary team in patients’ experiences. As it is established that patients spend more time with the nursing and support staff than with physicians, such interactions or encounters significantly define the patients’ perception of care quality (Siddiqui et al., 2023). All nurses and staff who show warmth, focus on patients and are friendly and courteous will enhance the patients’ satisfaction levels on the healthcare facility being offered.</w:t>
      </w:r>
    </w:p>
    <w:p w:rsidR="0030673B" w:rsidRPr="0030673B" w:rsidRDefault="0030673B" w:rsidP="00D20F1A">
      <w:pPr>
        <w:ind w:firstLine="720"/>
      </w:pPr>
      <w:r w:rsidRPr="0030673B">
        <w:t xml:space="preserve">It is therefore important that healthcare systems should prioritize offering training and development programs for nurses and other support staff. Such curriculum should comprise clinical competencies and Interpersonal skills. Also, creating organizational culture where staff feel welcomed and appreciated is essential for them to offer the best services to the patients. It is also essential to review staffing numbers and workload to guarantee nurses and other staff can spend enough time with the patients, which is the primary way of enhancing patient </w:t>
      </w:r>
      <w:proofErr w:type="gramStart"/>
      <w:r w:rsidRPr="0030673B">
        <w:t>satisfaction..</w:t>
      </w:r>
      <w:proofErr w:type="gramEnd"/>
    </w:p>
    <w:p w:rsidR="0030673B" w:rsidRPr="0030673B" w:rsidRDefault="0030673B" w:rsidP="00D20F1A">
      <w:pPr>
        <w:ind w:firstLine="720"/>
      </w:pPr>
      <w:r w:rsidRPr="0030673B">
        <w:lastRenderedPageBreak/>
        <w:t>This research established a positive correlation between clinical facilities and patient satisfaction (t = 4.49, p = 0.02) proving that facilities should be properly equipped and maintained to enhance patient satisfaction. Equipment quality, physical comfort, and patient amenities – such as design, cleanliness, and technology – influence patients’ perception of their overall health care experience (Rasouli &amp; Zarei, 2015). That fact supports the idea that to enhance patients’ satisfaction, there is a necessity for healthcare providers to focus on infrastructure development.</w:t>
      </w:r>
    </w:p>
    <w:p w:rsidR="0030673B" w:rsidRPr="0030673B" w:rsidRDefault="0030673B" w:rsidP="00D20F1A">
      <w:pPr>
        <w:ind w:firstLine="720"/>
      </w:pPr>
      <w:r w:rsidRPr="0030673B">
        <w:t>The study also showed that HIT integration has a significant moderating effect on the association between clinical facilities and patient satisfaction (t = 8.26, p = 0.04). Thus, it can be derived that the implementation of technology in healthcare services increases patients’ satisfaction by optimizing work flow, information exchange and minimizing mistakes. Electronic health records (EHRs), telemedicine, and patient portals are examples of HIT tools that could help better manage care coordination, information access, and patients’ wait time (Huang et al., 2014</w:t>
      </w:r>
      <w:proofErr w:type="gramStart"/>
      <w:r w:rsidRPr="0030673B">
        <w:t>)..</w:t>
      </w:r>
      <w:proofErr w:type="gramEnd"/>
    </w:p>
    <w:p w:rsidR="0030673B" w:rsidRPr="0030673B" w:rsidRDefault="0030673B" w:rsidP="0030673B"/>
    <w:p w:rsidR="0030673B" w:rsidRPr="0030673B" w:rsidRDefault="0030673B" w:rsidP="0030673B">
      <w:pPr>
        <w:rPr>
          <w:b/>
          <w:bCs/>
        </w:rPr>
      </w:pPr>
      <w:bookmarkStart w:id="248" w:name="_Toc54340747"/>
      <w:bookmarkStart w:id="249" w:name="_Toc56088026"/>
      <w:bookmarkStart w:id="250" w:name="_Toc56088275"/>
      <w:bookmarkStart w:id="251" w:name="_Toc65528110"/>
      <w:r w:rsidRPr="0030673B">
        <w:rPr>
          <w:b/>
          <w:bCs/>
        </w:rPr>
        <w:t>5.7</w:t>
      </w:r>
      <w:r w:rsidRPr="0030673B">
        <w:rPr>
          <w:b/>
          <w:bCs/>
        </w:rPr>
        <w:tab/>
        <w:t>ANSWERING THE RESEARCH QUESTIONS</w:t>
      </w:r>
      <w:bookmarkEnd w:id="248"/>
      <w:bookmarkEnd w:id="249"/>
      <w:bookmarkEnd w:id="250"/>
      <w:bookmarkEnd w:id="251"/>
    </w:p>
    <w:p w:rsidR="0030673B" w:rsidRPr="00D20F1A" w:rsidRDefault="0030673B" w:rsidP="0030673B">
      <w:r w:rsidRPr="0030673B">
        <w:rPr>
          <w:b/>
          <w:bCs/>
        </w:rPr>
        <w:tab/>
      </w:r>
      <w:r w:rsidRPr="00D20F1A">
        <w:t>The study sought to establish the following several specific questions pertaining various elements of outpatient departments (OPD) and patient satisfaction. According to the findings, the following answers to the research questions can be formulated:</w:t>
      </w:r>
    </w:p>
    <w:p w:rsidR="0030673B" w:rsidRPr="0030673B" w:rsidRDefault="0030673B" w:rsidP="0030673B">
      <w:pPr>
        <w:rPr>
          <w:b/>
          <w:bCs/>
        </w:rPr>
      </w:pPr>
      <w:r w:rsidRPr="0030673B">
        <w:rPr>
          <w:b/>
          <w:bCs/>
        </w:rPr>
        <w:t>1. Does doctor service have a significant impact on patient satisfaction in Saudi Arabia?</w:t>
      </w:r>
    </w:p>
    <w:p w:rsidR="0030673B" w:rsidRPr="0030673B" w:rsidRDefault="0030673B" w:rsidP="0030673B">
      <w:r w:rsidRPr="0030673B">
        <w:t xml:space="preserve">Indeed, the study established that doctor services are positively related to patient satisfaction (t = 4.12, p = 0.03). This result proves the hypothesis whereby the quality of doctor services is widely proportional to patient satisfaction. Previous research has also noted the influence of doctor-patient communication on patient’s </w:t>
      </w:r>
      <w:proofErr w:type="gramStart"/>
      <w:r w:rsidRPr="0030673B">
        <w:t>perception..</w:t>
      </w:r>
      <w:proofErr w:type="gramEnd"/>
    </w:p>
    <w:p w:rsidR="0030673B" w:rsidRPr="0030673B" w:rsidRDefault="0030673B" w:rsidP="0030673B">
      <w:r w:rsidRPr="0030673B">
        <w:t>Patients tend to evaluate their healthcare experience based on their interaction with healthcare professionals, especially doctors (Huang et al., 2014). When doctors demonstrate attentiveness, empathy, and effective communication, patients feel valued, which significantly enhances their satisfaction (</w:t>
      </w:r>
      <w:proofErr w:type="spellStart"/>
      <w:r w:rsidRPr="0030673B">
        <w:t>Altuntas</w:t>
      </w:r>
      <w:proofErr w:type="spellEnd"/>
      <w:r w:rsidRPr="0030673B">
        <w:t xml:space="preserve"> et al., 2018). These findings align with other research emphasizing the central role of healthcare providers in determining overall satisfaction (Bleich et al., 2014).</w:t>
      </w:r>
    </w:p>
    <w:p w:rsidR="0030673B" w:rsidRPr="0030673B" w:rsidRDefault="0030673B" w:rsidP="0030673B">
      <w:pPr>
        <w:rPr>
          <w:b/>
          <w:bCs/>
        </w:rPr>
      </w:pPr>
      <w:r w:rsidRPr="0030673B">
        <w:rPr>
          <w:b/>
          <w:bCs/>
        </w:rPr>
        <w:t>2. Does nurse and staff service influence patient satisfaction?</w:t>
      </w:r>
    </w:p>
    <w:p w:rsidR="0030673B" w:rsidRPr="0030673B" w:rsidRDefault="0030673B" w:rsidP="0030673B">
      <w:r w:rsidRPr="0030673B">
        <w:t xml:space="preserve">Yes, the study shows a significant positive relationship between nurse/staff services and patient satisfaction (t = 3.90, p = 0.21). This outcome underlines the crucial role of nursing and support staff in shaping patient experiences. Nurses and staff often spend more time with patients than doctors and are key figures in maintaining comfort and addressing concerns (Siddiqui et al., 2023). A positive attitude and professional conduct from nurses can significantly improve patient satisfaction by creating a supportive and caring </w:t>
      </w:r>
      <w:r w:rsidRPr="0030673B">
        <w:lastRenderedPageBreak/>
        <w:t>environment (</w:t>
      </w:r>
      <w:proofErr w:type="spellStart"/>
      <w:r w:rsidRPr="0030673B">
        <w:t>Stefanovska</w:t>
      </w:r>
      <w:proofErr w:type="spellEnd"/>
      <w:r w:rsidRPr="0030673B">
        <w:t xml:space="preserve"> &amp; Ilic, 2023). These findings align with other studies that demonstrate the importance of emotional support and communication in the nurse-patient relationship (Wagner et al., 2018).</w:t>
      </w:r>
    </w:p>
    <w:p w:rsidR="0030673B" w:rsidRPr="0030673B" w:rsidRDefault="0030673B" w:rsidP="0030673B">
      <w:pPr>
        <w:rPr>
          <w:b/>
          <w:bCs/>
        </w:rPr>
      </w:pPr>
      <w:r w:rsidRPr="0030673B">
        <w:rPr>
          <w:b/>
          <w:bCs/>
        </w:rPr>
        <w:t>3. Is there a relationship between administrative services and patient satisfaction?</w:t>
      </w:r>
    </w:p>
    <w:p w:rsidR="0030673B" w:rsidRPr="0030673B" w:rsidRDefault="0030673B" w:rsidP="0030673B">
      <w:r w:rsidRPr="0030673B">
        <w:t>No, the study found no significant relationship between administrative services (including registration and scheduling) and patient satisfaction (t = 0.17, p = 0.81). This suggests that, in this context, the quality of administrative services does not have a direct impact on how patients evaluate their overall satisfaction. While administrative efficiency can influence the flow of patients and reduce delays, it appears that patients prioritize clinical care and direct interactions with medical professionals over the efficiency of administrative processes (</w:t>
      </w:r>
      <w:proofErr w:type="spellStart"/>
      <w:r w:rsidRPr="0030673B">
        <w:t>Stefanovska</w:t>
      </w:r>
      <w:proofErr w:type="spellEnd"/>
      <w:r w:rsidRPr="0030673B">
        <w:t xml:space="preserve"> &amp; Ilic, 2023; Siddiqui et al., 2023). This is consistent with findings from other studies that indicate administrative services are often perceived as neutral unless there is a major issue, such as excessive waiting times or errors in patient registration (Marais &amp; Noble, 2021).</w:t>
      </w:r>
    </w:p>
    <w:p w:rsidR="0030673B" w:rsidRPr="0030673B" w:rsidRDefault="0030673B" w:rsidP="0030673B">
      <w:pPr>
        <w:rPr>
          <w:b/>
          <w:bCs/>
        </w:rPr>
      </w:pPr>
      <w:r w:rsidRPr="0030673B">
        <w:rPr>
          <w:b/>
          <w:bCs/>
        </w:rPr>
        <w:t>4. Do clinical facilities affect patient satisfaction?</w:t>
      </w:r>
    </w:p>
    <w:p w:rsidR="0030673B" w:rsidRPr="0030673B" w:rsidRDefault="0030673B" w:rsidP="0030673B">
      <w:r w:rsidRPr="0030673B">
        <w:t xml:space="preserve">Indeed, a direct correlation was detected between clinical facilities and patient satisfaction (t = 4.49; p = 0.02). Organization and equipment of entirely good quality and functional rooms contribute positively to the experience of the patient. When receiving treatment, patients are more satisfied when they are in clean, modern, well equipped clinical settings. Other studies also affirm this, finding that factors like the physical environment and endowments of HC facilities including waiting space, examination rooms and equipment influence patient satisfaction </w:t>
      </w:r>
      <w:proofErr w:type="gramStart"/>
      <w:r w:rsidRPr="0030673B">
        <w:t>level(</w:t>
      </w:r>
      <w:proofErr w:type="gramEnd"/>
      <w:r w:rsidRPr="0030673B">
        <w:t>Rasouli &amp; Zarei, 2015). Cleanliness of units also decreases anxiety levels of patients and increases perceived quality of services offered by the facility (Fitzpatrick et al., 2018</w:t>
      </w:r>
      <w:proofErr w:type="gramStart"/>
      <w:r w:rsidRPr="0030673B">
        <w:t>)..</w:t>
      </w:r>
      <w:proofErr w:type="gramEnd"/>
    </w:p>
    <w:p w:rsidR="0030673B" w:rsidRPr="0030673B" w:rsidRDefault="0030673B" w:rsidP="0030673B">
      <w:pPr>
        <w:rPr>
          <w:b/>
          <w:bCs/>
        </w:rPr>
      </w:pPr>
      <w:r w:rsidRPr="0030673B">
        <w:rPr>
          <w:b/>
          <w:bCs/>
        </w:rPr>
        <w:t>5. Does the efficiency of working schedules and procedures influence patient satisfaction?</w:t>
      </w:r>
    </w:p>
    <w:p w:rsidR="0030673B" w:rsidRPr="0030673B" w:rsidRDefault="0030673B" w:rsidP="0030673B">
      <w:r w:rsidRPr="0030673B">
        <w:t xml:space="preserve">The study also established that there was no correlation in regard to patient’s working schedules/ procedures and patient satisfaction (t = 0.34, p &lt; 0.05). While effective scheduling helps eliminate delays in patient treatment and significantly improve patient turnover, this research indicates that scheduling has no bearing on the level of patient satisfaction. The other authors have also expressed contradicting finding on the effects of efficiency on satisfaction in that as much as operation problems can act as source of dissatisfaction, they are considered less crucial than the quality of medical services (Siddiqui et al. 2023). </w:t>
      </w:r>
      <w:proofErr w:type="gramStart"/>
      <w:r w:rsidRPr="0030673B">
        <w:t>Thus ,</w:t>
      </w:r>
      <w:proofErr w:type="gramEnd"/>
      <w:r w:rsidRPr="0030673B">
        <w:t xml:space="preserve"> the positive impression people have about healthcare facilities as a output of the clinical part of healthcare could be considered as the dominant antecedents influencing the overall perception of the delivery of patient satisfaction..</w:t>
      </w:r>
    </w:p>
    <w:p w:rsidR="0030673B" w:rsidRPr="0030673B" w:rsidRDefault="0030673B" w:rsidP="0030673B">
      <w:pPr>
        <w:rPr>
          <w:b/>
          <w:bCs/>
        </w:rPr>
      </w:pPr>
      <w:r w:rsidRPr="0030673B">
        <w:rPr>
          <w:b/>
          <w:bCs/>
        </w:rPr>
        <w:t>6. Does Health Information Technology (HIT) integration impact patient satisfaction?</w:t>
      </w:r>
    </w:p>
    <w:p w:rsidR="0030673B" w:rsidRPr="0030673B" w:rsidRDefault="0030673B" w:rsidP="0030673B">
      <w:r w:rsidRPr="0030673B">
        <w:t xml:space="preserve">Indeed, the study revealed a moderate positive correlation between integrations of HIT and patient satisfaction (t = 8.26, p = 0.04). The incorporation of HIT like EHR, telemedicine, and patient portals has led to effective communication and reduced healthcare errors. In turn, it improves patient satisfaction given it allows patients to access care services that are more accessible, timely and well-coordinated (Huang et al., 2014). HIT has </w:t>
      </w:r>
      <w:r w:rsidRPr="0030673B">
        <w:lastRenderedPageBreak/>
        <w:t>also been observed in other works to enhance patient outcomes, decrease time spent on documentation, and enhance satisfaction by granting patients more control during their encounters (Bates et al., 2020; Greenhalgh et al., 2017).).</w:t>
      </w:r>
    </w:p>
    <w:p w:rsidR="0030673B" w:rsidRPr="0030673B" w:rsidRDefault="0030673B" w:rsidP="0030673B">
      <w:pPr>
        <w:rPr>
          <w:b/>
          <w:bCs/>
        </w:rPr>
      </w:pPr>
      <w:bookmarkStart w:id="252" w:name="_Toc54340748"/>
      <w:bookmarkStart w:id="253" w:name="_Toc56088027"/>
      <w:bookmarkStart w:id="254" w:name="_Toc56088276"/>
      <w:bookmarkStart w:id="255" w:name="_Toc65528111"/>
    </w:p>
    <w:p w:rsidR="0030673B" w:rsidRPr="0030673B" w:rsidRDefault="0030673B" w:rsidP="0030673B">
      <w:pPr>
        <w:numPr>
          <w:ilvl w:val="1"/>
          <w:numId w:val="15"/>
        </w:numPr>
        <w:rPr>
          <w:b/>
          <w:bCs/>
        </w:rPr>
      </w:pPr>
      <w:r w:rsidRPr="0030673B">
        <w:rPr>
          <w:b/>
          <w:bCs/>
        </w:rPr>
        <w:t>FULFILLING THE RESEARCH OBJECTIVES</w:t>
      </w:r>
      <w:bookmarkEnd w:id="252"/>
      <w:bookmarkEnd w:id="253"/>
      <w:bookmarkEnd w:id="254"/>
      <w:bookmarkEnd w:id="255"/>
    </w:p>
    <w:p w:rsidR="0030673B" w:rsidRPr="0030673B" w:rsidRDefault="0030673B" w:rsidP="0030673B">
      <w:r w:rsidRPr="0030673B">
        <w:t xml:space="preserve">The objectives of this research were as follows </w:t>
      </w:r>
      <w:proofErr w:type="gramStart"/>
      <w:r w:rsidRPr="0030673B">
        <w:t>To</w:t>
      </w:r>
      <w:proofErr w:type="gramEnd"/>
      <w:r w:rsidRPr="0030673B">
        <w:t xml:space="preserve"> correlate the different variables of the OPD services and patients’ satisfaction understanding how the efficiency of technology may improve the quality health care in the South Region of Saudi Arabia. The study achieves the following key research objectives through thorough hypothesis testing, data analysis and analysis of the impact of clinical and administrative services.:</w:t>
      </w:r>
    </w:p>
    <w:p w:rsidR="0030673B" w:rsidRPr="0030673B" w:rsidRDefault="0030673B" w:rsidP="0030673B">
      <w:pPr>
        <w:rPr>
          <w:b/>
          <w:bCs/>
        </w:rPr>
      </w:pPr>
      <w:r w:rsidRPr="0030673B">
        <w:rPr>
          <w:b/>
          <w:bCs/>
        </w:rPr>
        <w:t>1. Assessing the Impact of Doctor Services on Patient Satisfaction</w:t>
      </w:r>
    </w:p>
    <w:p w:rsidR="0030673B" w:rsidRPr="0030673B" w:rsidRDefault="0030673B" w:rsidP="0030673B">
      <w:r w:rsidRPr="0030673B">
        <w:t>The study was able to achieve the intended aim of evaluating the impact made by doctor services on patient satisfaction. In general, the research results reveal that doctor services are positively correlated with patient satisfaction (t = 4.12, p = 0.03). This outcome was in line with the hypothesis that doctor-patient communication affects the patients’ perception of the care they receive. The significance of doctor services in patient satisfaction has been confirmed in prior research (Huang et al., 2014; Bleich et al., 2014). Specifically, the various forms of communication, specifically doctor-patient relationship and the development of rapport creates more satisfaction in the patients while improving their general health (</w:t>
      </w:r>
      <w:proofErr w:type="spellStart"/>
      <w:r w:rsidRPr="0030673B">
        <w:t>Solovan</w:t>
      </w:r>
      <w:proofErr w:type="spellEnd"/>
      <w:r w:rsidRPr="0030673B">
        <w:t>, 2014).</w:t>
      </w:r>
    </w:p>
    <w:p w:rsidR="0030673B" w:rsidRPr="0030673B" w:rsidRDefault="0030673B" w:rsidP="0030673B">
      <w:pPr>
        <w:rPr>
          <w:b/>
          <w:bCs/>
        </w:rPr>
      </w:pPr>
      <w:r w:rsidRPr="0030673B">
        <w:rPr>
          <w:b/>
          <w:bCs/>
        </w:rPr>
        <w:t>2. Investigating the Influence of Nurse/Staff Services on Patient Satisfaction</w:t>
      </w:r>
    </w:p>
    <w:p w:rsidR="0030673B" w:rsidRPr="0030673B" w:rsidRDefault="0030673B" w:rsidP="0030673B">
      <w:r w:rsidRPr="0030673B">
        <w:t>The second aim was to determine whether patients are satisfied with the additional services provided by the nurses and other staff members. This research established that patient satisfaction was positively related to nurse and staff services r = 0.37. This outcome supports the importance of nursing staff in the treatment of patients as they provide the backbone care. Nurse’s positive attitude, kindness, and effective communication all enhance patients’ comfort and satisfaction levels (</w:t>
      </w:r>
      <w:proofErr w:type="spellStart"/>
      <w:r w:rsidRPr="0030673B">
        <w:t>Stefanovska</w:t>
      </w:r>
      <w:proofErr w:type="spellEnd"/>
      <w:r w:rsidRPr="0030673B">
        <w:t xml:space="preserve"> &amp; Ilic, 2023). Previous research postulated that patients interact with nurses most frequently, which underlines the importance of the nursing staff in terms of patient experience (Siddiqui et al., 2023; Wagner et al., 2018</w:t>
      </w:r>
      <w:proofErr w:type="gramStart"/>
      <w:r w:rsidRPr="0030673B">
        <w:t>)..</w:t>
      </w:r>
      <w:proofErr w:type="gramEnd"/>
    </w:p>
    <w:p w:rsidR="0030673B" w:rsidRPr="0030673B" w:rsidRDefault="0030673B" w:rsidP="0030673B">
      <w:pPr>
        <w:rPr>
          <w:b/>
          <w:bCs/>
        </w:rPr>
      </w:pPr>
      <w:r w:rsidRPr="0030673B">
        <w:rPr>
          <w:b/>
          <w:bCs/>
        </w:rPr>
        <w:t>3. Evaluating the Impact of Administrative Services on Patient Satisfaction</w:t>
      </w:r>
    </w:p>
    <w:p w:rsidR="0030673B" w:rsidRPr="0030673B" w:rsidRDefault="0030673B" w:rsidP="0030673B">
      <w:r w:rsidRPr="0030673B">
        <w:t>Ideally, one of the major aims of this study was to establish if factors like registration and scheduling of the patients affect their satisfaction. This research could not establish a correlation between administrative services and patient satisfaction (t = 0.17, p = 0.81). This is in line with the findings of other works that also postulated that administrative factors exert weaker influence than clinical factors on the patient perceive (</w:t>
      </w:r>
      <w:proofErr w:type="spellStart"/>
      <w:r w:rsidRPr="0030673B">
        <w:t>Stefanovska</w:t>
      </w:r>
      <w:proofErr w:type="spellEnd"/>
      <w:r w:rsidRPr="0030673B">
        <w:t xml:space="preserve"> &amp; Ilic, 2023; Siddiqui et al., 2023). Even if other administrative operations are optimal and may decrease the time patients had to spend waiting, patients value the direct professional contact more than impersonal administrative services (Marais &amp; Noble, 2021</w:t>
      </w:r>
      <w:proofErr w:type="gramStart"/>
      <w:r w:rsidRPr="0030673B">
        <w:t>)..</w:t>
      </w:r>
      <w:proofErr w:type="gramEnd"/>
    </w:p>
    <w:p w:rsidR="0030673B" w:rsidRPr="0030673B" w:rsidRDefault="0030673B" w:rsidP="0030673B">
      <w:pPr>
        <w:rPr>
          <w:b/>
          <w:bCs/>
        </w:rPr>
      </w:pPr>
      <w:r w:rsidRPr="0030673B">
        <w:rPr>
          <w:b/>
          <w:bCs/>
        </w:rPr>
        <w:lastRenderedPageBreak/>
        <w:t>4. Understanding the Role of Clinical Facilities in Patient Satisfaction</w:t>
      </w:r>
    </w:p>
    <w:p w:rsidR="0030673B" w:rsidRPr="0030673B" w:rsidRDefault="0030673B" w:rsidP="0030673B">
      <w:r w:rsidRPr="0030673B">
        <w:t xml:space="preserve">It also sought to determine the relationship between the clinical facilities and patients’ satisfaction. The study confirmed the hypothesis that availability of clinical facilities is positively correlated with patients’ satisfaction (t = 4.49, p = 0.02). This increases the need for well-equipped, clean, sanitized and updated clinical facilities to make patient’s experiences fulfilling. If patients receive comfort as well as convenience when receiving care in a particular facility, then of course the perceived quality of the care will increase. According to Rasouli and Zarei (2015) and Fitzpatrick et al. (2018) the findings have indicated that physical environment has a significant contribution towards patients’ experience and </w:t>
      </w:r>
      <w:proofErr w:type="gramStart"/>
      <w:r w:rsidRPr="0030673B">
        <w:t>satisfaction..</w:t>
      </w:r>
      <w:proofErr w:type="gramEnd"/>
    </w:p>
    <w:p w:rsidR="0030673B" w:rsidRPr="0030673B" w:rsidRDefault="0030673B" w:rsidP="0030673B">
      <w:pPr>
        <w:rPr>
          <w:b/>
          <w:bCs/>
        </w:rPr>
      </w:pPr>
      <w:r w:rsidRPr="0030673B">
        <w:rPr>
          <w:b/>
          <w:bCs/>
        </w:rPr>
        <w:t>5. Investigating the Influence of Operational Efficiency on Patient Satisfaction</w:t>
      </w:r>
    </w:p>
    <w:p w:rsidR="0030673B" w:rsidRPr="0030673B" w:rsidRDefault="0030673B" w:rsidP="0030673B">
      <w:r w:rsidRPr="0030673B">
        <w:t xml:space="preserve">Another aim was to identify if productivity of working schedules and procedures affecting patient’s satisfaction. </w:t>
      </w:r>
      <w:proofErr w:type="gramStart"/>
      <w:r w:rsidRPr="0030673B">
        <w:t>But,</w:t>
      </w:r>
      <w:proofErr w:type="gramEnd"/>
      <w:r w:rsidRPr="0030673B">
        <w:t xml:space="preserve"> the study could not observe any link between the nominated hypotheses and the findings as there was a positive correlation between operational efficiency and patient satisfaction but the value of t was 0.34, and the value of p was 0.76. This result suggests that, though operational efficiency is useful in making health care services run smoothly, it does not directly link to how patients perceive the overall satisfaction. Siddiqui et al., 2023, and </w:t>
      </w:r>
      <w:proofErr w:type="spellStart"/>
      <w:r w:rsidRPr="0030673B">
        <w:t>Stefanovska</w:t>
      </w:r>
      <w:proofErr w:type="spellEnd"/>
      <w:r w:rsidRPr="0030673B">
        <w:t xml:space="preserve"> and Ilic, 2023, emphasized that the two key drivers of patient satisfaction are clinical quality and perceived competence.</w:t>
      </w:r>
    </w:p>
    <w:p w:rsidR="0030673B" w:rsidRPr="0030673B" w:rsidRDefault="0030673B" w:rsidP="0030673B">
      <w:pPr>
        <w:rPr>
          <w:b/>
          <w:bCs/>
        </w:rPr>
      </w:pPr>
      <w:r w:rsidRPr="0030673B">
        <w:rPr>
          <w:b/>
          <w:bCs/>
        </w:rPr>
        <w:t>6. Exploring the Role of Health Information Technology (HIT) Integration on Patient Satisfaction</w:t>
      </w:r>
    </w:p>
    <w:p w:rsidR="0030673B" w:rsidRPr="0030673B" w:rsidRDefault="0030673B" w:rsidP="0030673B">
      <w:r w:rsidRPr="0030673B">
        <w:t xml:space="preserve">The study succeeded in meeting the goal of </w:t>
      </w:r>
      <w:proofErr w:type="spellStart"/>
      <w:r w:rsidRPr="0030673B">
        <w:t>analyzing</w:t>
      </w:r>
      <w:proofErr w:type="spellEnd"/>
      <w:r w:rsidRPr="0030673B">
        <w:t xml:space="preserve"> the impact of the post implementation of Health Information Technology (HIT) integration on patient satisfaction. The equation was significant for HIT integration and patient satisfaction t = 8.26, p = 0.04. This corroborates the evidence showing that application of ICTs including EHR, patient portals and telemedicine considerably enhances patient satisfaction (Huang et al., 2014; Bates et al., 2020). HIT enhances individuals and organizational communication, reduces medical mistakes, optimizes workflows and care services, and ultimately optimizes patient satisfaction (Bates et al., 2020; Greenhalgh et al., 2017</w:t>
      </w:r>
      <w:proofErr w:type="gramStart"/>
      <w:r w:rsidRPr="0030673B">
        <w:t>)..</w:t>
      </w:r>
      <w:proofErr w:type="gramEnd"/>
    </w:p>
    <w:p w:rsidR="0030673B" w:rsidRPr="0030673B" w:rsidRDefault="0030673B" w:rsidP="0030673B">
      <w:pPr>
        <w:rPr>
          <w:b/>
          <w:bCs/>
        </w:rPr>
      </w:pPr>
      <w:r w:rsidRPr="0030673B">
        <w:rPr>
          <w:b/>
          <w:bCs/>
        </w:rPr>
        <w:t>5.9</w:t>
      </w:r>
      <w:r w:rsidRPr="0030673B">
        <w:rPr>
          <w:b/>
          <w:bCs/>
        </w:rPr>
        <w:tab/>
      </w:r>
      <w:bookmarkStart w:id="256" w:name="_Toc54340749"/>
      <w:bookmarkStart w:id="257" w:name="_Toc56088028"/>
      <w:bookmarkStart w:id="258" w:name="_Toc56088277"/>
      <w:bookmarkStart w:id="259" w:name="_Toc65528112"/>
      <w:r w:rsidRPr="0030673B">
        <w:rPr>
          <w:b/>
          <w:bCs/>
        </w:rPr>
        <w:t>IMPLICATIONS OF THE RESEARCH</w:t>
      </w:r>
      <w:bookmarkEnd w:id="256"/>
      <w:bookmarkEnd w:id="257"/>
      <w:bookmarkEnd w:id="258"/>
      <w:bookmarkEnd w:id="259"/>
    </w:p>
    <w:p w:rsidR="0030673B" w:rsidRPr="0030673B" w:rsidRDefault="0030673B" w:rsidP="0030673B">
      <w:r w:rsidRPr="0030673B">
        <w:t>The conclusion, therefore, of this study as provide below has great implications for health care providers, which seeks to enhance patients’ satisfaction in OPDs. The results highlight the relevance of quality communication process as well as doctors’ empathy as primary indicators of patient satisfaction (Huang et al., 2014; Bleich et al., 2014). Likewise, nurse and staff engagement is important for a different reason to indicate the importance of the focused training for the staff which concerns communication and professionality at the point of service to the patient (</w:t>
      </w:r>
      <w:proofErr w:type="spellStart"/>
      <w:r w:rsidRPr="0030673B">
        <w:t>Stefanovska</w:t>
      </w:r>
      <w:proofErr w:type="spellEnd"/>
      <w:r w:rsidRPr="0030673B">
        <w:t xml:space="preserve"> &amp; Ilic, 2023). However, physical infrastructure of clinical facilities represents another crucial aspect of satisfaction indicating that healthcare providers should spend money on the appearance of the physical environment and purity (Rasouli &amp; Zarei, 2015). Last, the use of Health Information Technology (HIT) which includes e-Health records and patient portal application enhances patient </w:t>
      </w:r>
      <w:r w:rsidRPr="0030673B">
        <w:lastRenderedPageBreak/>
        <w:t>satisfaction through enhancing organizational communication to provide health services (Huang et al., 2014; Bates et al., 2020). In general, healthcare institutions should address these areas to develop the patient-</w:t>
      </w:r>
      <w:proofErr w:type="spellStart"/>
      <w:r w:rsidRPr="0030673B">
        <w:t>centered</w:t>
      </w:r>
      <w:proofErr w:type="spellEnd"/>
      <w:r w:rsidRPr="0030673B">
        <w:t xml:space="preserve"> model that contributes to the improvement of patients’ experiences and </w:t>
      </w:r>
      <w:proofErr w:type="gramStart"/>
      <w:r w:rsidRPr="0030673B">
        <w:t>outcomes..</w:t>
      </w:r>
      <w:proofErr w:type="gramEnd"/>
    </w:p>
    <w:p w:rsidR="0030673B" w:rsidRPr="0030673B" w:rsidRDefault="0030673B" w:rsidP="0030673B">
      <w:pPr>
        <w:numPr>
          <w:ilvl w:val="2"/>
          <w:numId w:val="16"/>
        </w:numPr>
        <w:rPr>
          <w:b/>
          <w:i/>
          <w:iCs/>
        </w:rPr>
      </w:pPr>
      <w:bookmarkStart w:id="260" w:name="_Toc54340750"/>
      <w:bookmarkStart w:id="261" w:name="_Toc56088029"/>
      <w:bookmarkStart w:id="262" w:name="_Toc56088278"/>
      <w:bookmarkStart w:id="263" w:name="_Toc65528113"/>
      <w:r w:rsidRPr="0030673B">
        <w:rPr>
          <w:b/>
          <w:i/>
          <w:iCs/>
        </w:rPr>
        <w:t>Theoretical Implication</w:t>
      </w:r>
      <w:bookmarkEnd w:id="260"/>
      <w:bookmarkEnd w:id="261"/>
      <w:bookmarkEnd w:id="262"/>
      <w:bookmarkEnd w:id="263"/>
    </w:p>
    <w:p w:rsidR="0030673B" w:rsidRPr="0030673B" w:rsidRDefault="0030673B" w:rsidP="00D20F1A">
      <w:pPr>
        <w:ind w:firstLine="720"/>
      </w:pPr>
      <w:r w:rsidRPr="0030673B">
        <w:t xml:space="preserve">Consequently, the outcomes of this research add new knowledge to the theoretical body of patient satisfaction concerning the discussed OPHS in the South Saudi Arabian region. Thus, by looking at the various roles of service elements includes, such as </w:t>
      </w:r>
      <w:proofErr w:type="gramStart"/>
      <w:r w:rsidRPr="0030673B">
        <w:t>doctors</w:t>
      </w:r>
      <w:proofErr w:type="gramEnd"/>
      <w:r w:rsidRPr="0030673B">
        <w:t xml:space="preserve"> services, nurses and staff interactions, clinical facilities, and Health IT integration, this study also supports the theoretical frameworks of service quality and patient centeredness.</w:t>
      </w:r>
    </w:p>
    <w:p w:rsidR="0030673B" w:rsidRPr="0030673B" w:rsidRDefault="0030673B" w:rsidP="00D20F1A">
      <w:pPr>
        <w:ind w:firstLine="720"/>
      </w:pPr>
      <w:r w:rsidRPr="0030673B">
        <w:t>Appreciation of the role of a doctor in fulfilling the patients’ needs fosters the patient-</w:t>
      </w:r>
      <w:proofErr w:type="spellStart"/>
      <w:r w:rsidRPr="0030673B">
        <w:t>centered</w:t>
      </w:r>
      <w:proofErr w:type="spellEnd"/>
      <w:r w:rsidRPr="0030673B">
        <w:t xml:space="preserve"> care approach, which focuses on the nature of the interaction between providers and consumers of healthcare (Bleich et al., 2014; Prakash, 2010). These findings are also supported by theoretical frameworks such as the SERVQUAL model (Parasuraman et al., 1985), which proposes that service quality, especially concerning interactions with healthcare providers, mainly influences patients’ views of care. Thus, the results of this study highlight the need to incorporate both accurate medical practices and interpersonal communication education into the curriculum that prepares doctors and other healthcare workers.</w:t>
      </w:r>
    </w:p>
    <w:p w:rsidR="0030673B" w:rsidRPr="0030673B" w:rsidRDefault="0030673B" w:rsidP="00D20F1A">
      <w:pPr>
        <w:ind w:firstLine="720"/>
      </w:pPr>
      <w:r w:rsidRPr="0030673B">
        <w:t xml:space="preserve">Furthermore, the significant, positive correlation between nurse and staff services and patient satisfaction can be supported by Blau’s social exchange theory (1964) about positive interpersonal communications leading to increased and improved relations. Supportive care environment is important and nurses and healthcare staff are very important difference so in concordance with it, patients appreciate emotional support, empathy, and professional </w:t>
      </w:r>
      <w:proofErr w:type="spellStart"/>
      <w:r w:rsidRPr="0030673B">
        <w:t>demeanor</w:t>
      </w:r>
      <w:proofErr w:type="spellEnd"/>
      <w:r w:rsidRPr="0030673B">
        <w:t xml:space="preserve"> of their healthcare providers as reported by </w:t>
      </w:r>
      <w:proofErr w:type="spellStart"/>
      <w:r w:rsidRPr="0030673B">
        <w:t>Stefanovska</w:t>
      </w:r>
      <w:proofErr w:type="spellEnd"/>
      <w:r w:rsidRPr="0030673B">
        <w:t xml:space="preserve"> and Ilic (2023). The results of this study imply that while healthcare institutions should remain effective and efficient, and achieve the technical goals in the healthcare provision, they should also pay attention to the affective and interpersonal dimensions of the patient-caregiver </w:t>
      </w:r>
      <w:proofErr w:type="gramStart"/>
      <w:r w:rsidRPr="0030673B">
        <w:t>relationships..</w:t>
      </w:r>
      <w:proofErr w:type="gramEnd"/>
    </w:p>
    <w:p w:rsidR="0030673B" w:rsidRPr="0030673B" w:rsidRDefault="0030673B" w:rsidP="00D20F1A">
      <w:pPr>
        <w:ind w:firstLine="720"/>
      </w:pPr>
      <w:r w:rsidRPr="0030673B">
        <w:t xml:space="preserve">Moreover, those results that specified that clinical facilities and HIT integration are associated with patient satisfaction also supports the growing literature on healthcare service quality. These results are supported by theories of technology acceptance, including TAM, with the implementation of health technologies, including </w:t>
      </w:r>
      <w:proofErr w:type="spellStart"/>
      <w:r w:rsidRPr="0030673B">
        <w:t>eHPs</w:t>
      </w:r>
      <w:proofErr w:type="spellEnd"/>
      <w:r w:rsidRPr="0030673B">
        <w:t>, and specifically electronic health records and patient portals, contributing to both provider productivity and patient satisfaction. Through enhancing information sharing and organizational communication, patient centredness is promoted since improved patient satisfaction is an overall effect of implementing HIT systems (Huang et al., 2014; Bates et al., 2020).</w:t>
      </w:r>
    </w:p>
    <w:p w:rsidR="0030673B" w:rsidRPr="0030673B" w:rsidRDefault="0030673B" w:rsidP="00D20F1A">
      <w:pPr>
        <w:ind w:firstLine="720"/>
      </w:pPr>
      <w:r w:rsidRPr="0030673B">
        <w:t>Taken together, this research supports the theoretical frameworks on service quality, patient satisfaction and patient-</w:t>
      </w:r>
      <w:proofErr w:type="spellStart"/>
      <w:r w:rsidRPr="0030673B">
        <w:t>centered</w:t>
      </w:r>
      <w:proofErr w:type="spellEnd"/>
      <w:r w:rsidRPr="0030673B">
        <w:t xml:space="preserve"> care, creates new knowledge about the factors that may enhance outpatient’s satisfaction specifically in understudied regions of the world. Consequently, the proposed model offers a </w:t>
      </w:r>
      <w:r w:rsidRPr="0030673B">
        <w:lastRenderedPageBreak/>
        <w:t xml:space="preserve">worthwhile theoretical base through which future research may investigate relationships between service quality, health care delivery and patient outcomes within various health care </w:t>
      </w:r>
      <w:proofErr w:type="gramStart"/>
      <w:r w:rsidRPr="0030673B">
        <w:t>contexts..</w:t>
      </w:r>
      <w:proofErr w:type="gramEnd"/>
    </w:p>
    <w:p w:rsidR="0030673B" w:rsidRPr="0030673B" w:rsidRDefault="0030673B" w:rsidP="00D20F1A">
      <w:pPr>
        <w:ind w:firstLine="720"/>
        <w:rPr>
          <w:b/>
          <w:i/>
          <w:iCs/>
        </w:rPr>
      </w:pPr>
      <w:bookmarkStart w:id="264" w:name="_Toc54340751"/>
      <w:bookmarkStart w:id="265" w:name="_Toc56088030"/>
      <w:bookmarkStart w:id="266" w:name="_Toc56088279"/>
      <w:bookmarkStart w:id="267" w:name="_Toc65528114"/>
      <w:r w:rsidRPr="0030673B">
        <w:rPr>
          <w:b/>
          <w:i/>
          <w:iCs/>
        </w:rPr>
        <w:t>Practical Implication</w:t>
      </w:r>
      <w:bookmarkEnd w:id="264"/>
      <w:bookmarkEnd w:id="265"/>
      <w:bookmarkEnd w:id="266"/>
      <w:bookmarkEnd w:id="267"/>
    </w:p>
    <w:p w:rsidR="0030673B" w:rsidRPr="0030673B" w:rsidRDefault="0030673B" w:rsidP="00D20F1A">
      <w:pPr>
        <w:ind w:firstLine="720"/>
      </w:pPr>
      <w:r w:rsidRPr="0030673B">
        <w:t xml:space="preserve">Therefore, the implication of this study has practical implication for healthcare providers who want improve patient satisfaction in OPDs. First, the study reveals that most of the participants appreciated the doctor-patient communication pointing out that healthcare institutions should focus on training doctors for their interpersonal skills. While practitioners who are empathetic and convey information effectively tend to have rapport with the patients, strengthening satisfaction, and enhancing compliance (Huang et al., 2014; Bleich et al., 2014). </w:t>
      </w:r>
    </w:p>
    <w:p w:rsidR="0030673B" w:rsidRPr="0030673B" w:rsidRDefault="0030673B" w:rsidP="00D20F1A">
      <w:pPr>
        <w:ind w:firstLine="720"/>
      </w:pPr>
      <w:r w:rsidRPr="0030673B">
        <w:t xml:space="preserve">Also, the significant nursing and staff service variables influencing patient satisfaction reinforce the importance of staff training in skills related to customer relations, courtesy and patient-focus. Healthcare workers particularly the nurses and the staff should be able to offer patients and their families, compassionate care since this can help improve patient satisfaction. Additionally, the study recommends that healthcare providers should ensure that they enhance on the quality of clinical facilities. Order and tidiness of the environment is among the factors that enhance patient satisfaction which in turn eliminates anxiety and depression relating to health care (Rasouli &amp; Zarei, 2015). </w:t>
      </w:r>
    </w:p>
    <w:p w:rsidR="0030673B" w:rsidRPr="0030673B" w:rsidRDefault="0030673B" w:rsidP="00D20F1A">
      <w:pPr>
        <w:ind w:firstLine="720"/>
      </w:pPr>
      <w:r w:rsidRPr="0030673B">
        <w:t>Last but not the least, integration of Health Information Technology (HIT) affects patient satisfaction significantly. The study also shows benefits of employing info technologies like EHRs and patient portals can be helpful as it increases communication and in making proper and improved decisions with regards to health care. It is suggested that healthcare providers need to concentrate on adopting these technologies to enhance care delivery to patients and enhance patient control over their health information with a view to increase satisfaction (Huang et al., 2014, Bates et al., 2020). In this context, I recommend the following areas of improvement: improving doctor-patient relationships, staff development, facilities management, and buying and implementing health information technology.</w:t>
      </w:r>
    </w:p>
    <w:p w:rsidR="0030673B" w:rsidRPr="0030673B" w:rsidRDefault="0030673B" w:rsidP="0030673B">
      <w:pPr>
        <w:rPr>
          <w:b/>
          <w:i/>
          <w:iCs/>
        </w:rPr>
      </w:pPr>
      <w:bookmarkStart w:id="268" w:name="_Toc54340752"/>
      <w:bookmarkStart w:id="269" w:name="_Toc56088031"/>
      <w:bookmarkStart w:id="270" w:name="_Toc56088280"/>
      <w:bookmarkStart w:id="271" w:name="_Toc65528115"/>
      <w:r w:rsidRPr="0030673B">
        <w:rPr>
          <w:b/>
          <w:i/>
          <w:iCs/>
        </w:rPr>
        <w:t>5.9.3</w:t>
      </w:r>
      <w:r w:rsidRPr="0030673B">
        <w:rPr>
          <w:b/>
          <w:i/>
          <w:iCs/>
        </w:rPr>
        <w:tab/>
        <w:t>Regulatory Policy Implication</w:t>
      </w:r>
      <w:bookmarkEnd w:id="268"/>
      <w:bookmarkEnd w:id="269"/>
      <w:bookmarkEnd w:id="270"/>
      <w:bookmarkEnd w:id="271"/>
    </w:p>
    <w:p w:rsidR="0030673B" w:rsidRPr="0030673B" w:rsidRDefault="0030673B" w:rsidP="00D20F1A">
      <w:pPr>
        <w:ind w:firstLine="720"/>
      </w:pPr>
      <w:r w:rsidRPr="0030673B">
        <w:t>The result of this study has significant implications to regulatory policies in healthcare systems specifically with regards to OPDs. This research therefore provides policymakers with evidence to help implement policies aimed at increasing patient satisfaction hence quality health care delivery.</w:t>
      </w:r>
    </w:p>
    <w:p w:rsidR="0030673B" w:rsidRPr="0030673B" w:rsidRDefault="0030673B" w:rsidP="00D20F1A">
      <w:pPr>
        <w:ind w:firstLine="720"/>
      </w:pPr>
      <w:r w:rsidRPr="0030673B">
        <w:t xml:space="preserve">First, encourages that regulatory bodies must ensure that it foster policies that has to do with medical practitioners, especially doctors, in question is the fact that the study is confined to doctor-patient interactions. This could encompass coding policies that require doctors to undergo compulsory courses in how to talk to patients and understanding of the patient as a person which are all basics of constructing rapport and enhancing patient outcomes (Bleich et al., 2014). Authorities could include these competencies into the licenses and accreditations of the healthcare givers in a way that in addition to clinical competence, the givers are equally </w:t>
      </w:r>
      <w:r w:rsidRPr="0030673B">
        <w:lastRenderedPageBreak/>
        <w:t>equipped with interpersonal skills when dealing with patents courtesy of their capacity to understand the patient.</w:t>
      </w:r>
    </w:p>
    <w:p w:rsidR="0030673B" w:rsidRPr="0030673B" w:rsidRDefault="0030673B" w:rsidP="00D20F1A">
      <w:pPr>
        <w:ind w:firstLine="720"/>
      </w:pPr>
      <w:r w:rsidRPr="0030673B">
        <w:t xml:space="preserve">Interestingly, patient satisfaction is also seen to improve with the number of nurses, and staff services in the study. Policies relating to the standards of care should promote incorporation of patient </w:t>
      </w:r>
      <w:proofErr w:type="spellStart"/>
      <w:r w:rsidRPr="0030673B">
        <w:t>centered</w:t>
      </w:r>
      <w:proofErr w:type="spellEnd"/>
      <w:r w:rsidRPr="0030673B">
        <w:t xml:space="preserve"> care approaches into nursing and supportive staff curriculums. Promisingly, policies could motivate hospitals to ensure the training of such skills as successful communication with patients, cultural sensitivity, and emotional intelligence, which are crucial in delivering patient-</w:t>
      </w:r>
      <w:proofErr w:type="spellStart"/>
      <w:r w:rsidRPr="0030673B">
        <w:t>centered</w:t>
      </w:r>
      <w:proofErr w:type="spellEnd"/>
      <w:r w:rsidRPr="0030673B">
        <w:t xml:space="preserve"> care (</w:t>
      </w:r>
      <w:proofErr w:type="spellStart"/>
      <w:r w:rsidRPr="0030673B">
        <w:t>Stefanovska</w:t>
      </w:r>
      <w:proofErr w:type="spellEnd"/>
      <w:r w:rsidRPr="0030673B">
        <w:t xml:space="preserve"> &amp; Ilic, 2023). In addition, the existing health care regulations might demand healthcare institutions to routinely and systematically measure staff satisfaction because it has been determined that staff satisfaction predicts patient satisfaction (Rasouli &amp; Zarei, 2015).</w:t>
      </w:r>
    </w:p>
    <w:p w:rsidR="0030673B" w:rsidRPr="0030673B" w:rsidRDefault="0030673B" w:rsidP="00D20F1A">
      <w:pPr>
        <w:ind w:firstLine="720"/>
      </w:pPr>
      <w:r w:rsidRPr="0030673B">
        <w:t>The results on clinical facilities show how it is imperative to keep high standards of infrastructures and the patient care settings. The law enforcement agencies should ensure that the physical state of health facilities being constructed or planned has strict standards or criteria as to the physical presentation, hygiene, accessibility and availability of medical instruments and tools. These standards can also be implemented by periodic inspection, audits or accreditation of respective organizations. Thus, healthcare organisations are to follow the developed rules and regulations in order to enhance the patient experiences (Rasouli &amp; Zarei, 2015</w:t>
      </w:r>
      <w:proofErr w:type="gramStart"/>
      <w:r w:rsidRPr="0030673B">
        <w:t>)..</w:t>
      </w:r>
      <w:proofErr w:type="gramEnd"/>
    </w:p>
    <w:p w:rsidR="0030673B" w:rsidRPr="0030673B" w:rsidRDefault="0030673B" w:rsidP="00D20F1A">
      <w:pPr>
        <w:ind w:firstLine="720"/>
      </w:pPr>
      <w:r w:rsidRPr="0030673B">
        <w:t>Finally, the study revealed that the adoption of Health Information Technology (HIT) enhanced patient satisfaction. There are increased policy recommendations for expanding patient access to EHRs, telehealth, and patient portals. The authorities can encourage the adoption of the HIT solutions that work for efficient data exchange, communication, and care coordination in healthcare organizations. Such technologies are capable of increasing efficiency and decreasing the rate of error, aiding in patient engagement as well as patient satisfaction and positively impacting certain health outcomes (Huang et al., 2014; Bates et al., 2020). Furthermore, regulations should guarantee that data privacy and data security are upheld thus making the patient trust in the e-health services.</w:t>
      </w:r>
    </w:p>
    <w:p w:rsidR="0030673B" w:rsidRPr="0030673B" w:rsidRDefault="0030673B" w:rsidP="00D20F1A">
      <w:pPr>
        <w:ind w:firstLine="720"/>
      </w:pPr>
      <w:r w:rsidRPr="0030673B">
        <w:t>To sum it up, it is possible to improve patient satisfaction and overall healthcare quality by strengthening regulatory policies that advance provider’s certifications, increase nurse and staff training, and establish stringent standards for clinical faculties along with the financial encouragement of Health Information Technology. The above findings should guide policymakers when developing policies since they affect the design of regulations aspiring to enhance the healthcare systems’ responsiveness, efficiency and effectiveness in delivering patient-</w:t>
      </w:r>
      <w:proofErr w:type="spellStart"/>
      <w:r w:rsidRPr="0030673B">
        <w:t>centered</w:t>
      </w:r>
      <w:proofErr w:type="spellEnd"/>
      <w:r w:rsidRPr="0030673B">
        <w:t xml:space="preserve"> </w:t>
      </w:r>
      <w:proofErr w:type="gramStart"/>
      <w:r w:rsidRPr="0030673B">
        <w:t>care..</w:t>
      </w:r>
      <w:proofErr w:type="gramEnd"/>
    </w:p>
    <w:p w:rsidR="0030673B" w:rsidRPr="0030673B" w:rsidRDefault="0030673B" w:rsidP="0030673B">
      <w:pPr>
        <w:rPr>
          <w:b/>
          <w:bCs/>
        </w:rPr>
      </w:pPr>
      <w:bookmarkStart w:id="272" w:name="_Toc65528116"/>
      <w:bookmarkStart w:id="273" w:name="_Toc56088281"/>
      <w:bookmarkStart w:id="274" w:name="_Toc56088032"/>
      <w:bookmarkStart w:id="275" w:name="_Toc54340753"/>
      <w:r w:rsidRPr="0030673B">
        <w:rPr>
          <w:b/>
          <w:bCs/>
        </w:rPr>
        <w:t>5.10</w:t>
      </w:r>
      <w:r w:rsidRPr="0030673B">
        <w:rPr>
          <w:b/>
          <w:bCs/>
        </w:rPr>
        <w:tab/>
      </w:r>
      <w:bookmarkStart w:id="276" w:name="_Hlk181864356"/>
      <w:r w:rsidRPr="0030673B">
        <w:rPr>
          <w:b/>
          <w:bCs/>
        </w:rPr>
        <w:t>CONTRIBUTIONS FROM THE RESEARCH</w:t>
      </w:r>
      <w:bookmarkEnd w:id="272"/>
      <w:bookmarkEnd w:id="273"/>
      <w:bookmarkEnd w:id="274"/>
      <w:bookmarkEnd w:id="275"/>
      <w:bookmarkEnd w:id="276"/>
    </w:p>
    <w:p w:rsidR="0030673B" w:rsidRPr="0030673B" w:rsidRDefault="0030673B" w:rsidP="00D20F1A">
      <w:pPr>
        <w:ind w:firstLine="720"/>
      </w:pPr>
      <w:r w:rsidRPr="0030673B">
        <w:t xml:space="preserve">Hence, this paper offers important and valuable insights to the existing literature and practice of HCQI, especially concerning OPDs. The contributions can be categorized into three key areas: </w:t>
      </w:r>
      <w:proofErr w:type="spellStart"/>
      <w:proofErr w:type="gramStart"/>
      <w:r w:rsidRPr="0030673B">
        <w:t>theoretical,practical</w:t>
      </w:r>
      <w:proofErr w:type="spellEnd"/>
      <w:proofErr w:type="gramEnd"/>
      <w:r w:rsidRPr="0030673B">
        <w:t>, and regulatory policy..</w:t>
      </w:r>
    </w:p>
    <w:p w:rsidR="0030673B" w:rsidRPr="0030673B" w:rsidRDefault="0030673B" w:rsidP="0030673B">
      <w:pPr>
        <w:rPr>
          <w:b/>
          <w:i/>
          <w:iCs/>
        </w:rPr>
      </w:pPr>
      <w:bookmarkStart w:id="277" w:name="_Toc54340754"/>
      <w:bookmarkStart w:id="278" w:name="_Toc56088033"/>
      <w:bookmarkStart w:id="279" w:name="_Toc56088282"/>
      <w:bookmarkStart w:id="280" w:name="_Toc65528117"/>
      <w:r w:rsidRPr="0030673B">
        <w:rPr>
          <w:b/>
          <w:i/>
          <w:iCs/>
        </w:rPr>
        <w:lastRenderedPageBreak/>
        <w:t>5.10.1</w:t>
      </w:r>
      <w:r w:rsidRPr="0030673B">
        <w:rPr>
          <w:b/>
          <w:i/>
          <w:iCs/>
        </w:rPr>
        <w:tab/>
        <w:t>Theoretical Contribution</w:t>
      </w:r>
      <w:bookmarkEnd w:id="277"/>
      <w:bookmarkEnd w:id="278"/>
      <w:bookmarkEnd w:id="279"/>
      <w:bookmarkEnd w:id="280"/>
    </w:p>
    <w:p w:rsidR="0030673B" w:rsidRPr="0030673B" w:rsidRDefault="0030673B" w:rsidP="00D20F1A">
      <w:pPr>
        <w:ind w:firstLine="720"/>
      </w:pPr>
      <w:r w:rsidRPr="0030673B">
        <w:t>The study adds knowledge to the theoretical framework of patient satisfaction determinants within OPDs and other healthcare facilities. Thus, examining the doctor services, nurse/staff services, administrative, clinical, facilities and Health IT services, this study offers insights into how aspects of healthcare impact the dependent variable: patient satisfaction. This article aligns with the patient-</w:t>
      </w:r>
      <w:proofErr w:type="spellStart"/>
      <w:r w:rsidRPr="0030673B">
        <w:t>centered</w:t>
      </w:r>
      <w:proofErr w:type="spellEnd"/>
      <w:r w:rsidRPr="0030673B">
        <w:t xml:space="preserve"> care system that considers the quality of the interpersonal relationships between the patient and the healthcare provider (Bleich et al., 2014).</w:t>
      </w:r>
    </w:p>
    <w:p w:rsidR="0030673B" w:rsidRPr="0030673B" w:rsidRDefault="0030673B" w:rsidP="00D20F1A">
      <w:pPr>
        <w:ind w:firstLine="720"/>
      </w:pPr>
      <w:r w:rsidRPr="0030673B">
        <w:t xml:space="preserve">Furthermore, it contributes towards the expanding literature on the use of IT in health care. They prove that the application of HIE technology, such as EHRs and patient portals, affects patients’ satisfaction levels (Bates et al., 2020). Finally, this </w:t>
      </w:r>
      <w:proofErr w:type="spellStart"/>
      <w:r w:rsidRPr="0030673B">
        <w:t>theoretisation</w:t>
      </w:r>
      <w:proofErr w:type="spellEnd"/>
      <w:r w:rsidRPr="0030673B">
        <w:t xml:space="preserve"> brings out the dynamism of health care delivery where technology is seen to be progressively essential for enhancing communication and such like while enhancing the quantity and quality of </w:t>
      </w:r>
      <w:proofErr w:type="spellStart"/>
      <w:r w:rsidRPr="0030673B">
        <w:t>heath</w:t>
      </w:r>
      <w:proofErr w:type="spellEnd"/>
      <w:r w:rsidRPr="0030673B">
        <w:t xml:space="preserve"> care delivery </w:t>
      </w:r>
      <w:proofErr w:type="gramStart"/>
      <w:r w:rsidRPr="0030673B">
        <w:t>systems..</w:t>
      </w:r>
      <w:proofErr w:type="gramEnd"/>
    </w:p>
    <w:p w:rsidR="0030673B" w:rsidRPr="0030673B" w:rsidRDefault="0030673B" w:rsidP="0030673B">
      <w:pPr>
        <w:rPr>
          <w:b/>
          <w:i/>
          <w:iCs/>
        </w:rPr>
      </w:pPr>
      <w:bookmarkStart w:id="281" w:name="_Toc54340755"/>
      <w:bookmarkStart w:id="282" w:name="_Toc56088034"/>
      <w:bookmarkStart w:id="283" w:name="_Toc56088283"/>
      <w:bookmarkStart w:id="284" w:name="_Toc65528118"/>
      <w:r w:rsidRPr="0030673B">
        <w:rPr>
          <w:b/>
          <w:i/>
          <w:iCs/>
        </w:rPr>
        <w:t>5.10.2</w:t>
      </w:r>
      <w:r w:rsidRPr="0030673B">
        <w:rPr>
          <w:b/>
          <w:i/>
          <w:iCs/>
        </w:rPr>
        <w:tab/>
        <w:t>Practical Contribution</w:t>
      </w:r>
      <w:bookmarkEnd w:id="281"/>
      <w:bookmarkEnd w:id="282"/>
      <w:bookmarkEnd w:id="283"/>
      <w:bookmarkEnd w:id="284"/>
    </w:p>
    <w:p w:rsidR="0030673B" w:rsidRPr="0030673B" w:rsidRDefault="0030673B" w:rsidP="00D20F1A">
      <w:pPr>
        <w:ind w:firstLine="720"/>
      </w:pPr>
      <w:r w:rsidRPr="0030673B">
        <w:t>The applied significance of this research is especially important for practitioners who are interested in enhancing patient satisfaction. As a result of the research undertaken, several areas that require improvement in the delivery of healthcare were established. First, the study affirms that doctor-patient relations remain critical and show that physicians who adopt high interpersonal communication, perspective taking, and patient-</w:t>
      </w:r>
      <w:proofErr w:type="spellStart"/>
      <w:r w:rsidRPr="0030673B">
        <w:t>centered</w:t>
      </w:r>
      <w:proofErr w:type="spellEnd"/>
      <w:r w:rsidRPr="0030673B">
        <w:t xml:space="preserve"> care will likely enhance patient satisfaction (Huang et al., 2014). A healthcare institution should focus on communication skills and emotional intelligence training for doctors who would take time to appreciate the patient, the problems he/she is facing, and the kind of treatment the patient requires.</w:t>
      </w:r>
    </w:p>
    <w:p w:rsidR="0030673B" w:rsidRPr="0030673B" w:rsidRDefault="0030673B" w:rsidP="00D20F1A">
      <w:pPr>
        <w:ind w:firstLine="720"/>
      </w:pPr>
      <w:r w:rsidRPr="0030673B">
        <w:t>Second, the importance of the nurses and staff in creating patient satisfaction is presented in the study. Since nurse and staff services have a significant influence on patient experience, healthcare organizations should ensure staff receives customer service, empathy, and professionalism (</w:t>
      </w:r>
      <w:proofErr w:type="spellStart"/>
      <w:r w:rsidRPr="0030673B">
        <w:t>Stefanovska</w:t>
      </w:r>
      <w:proofErr w:type="spellEnd"/>
      <w:r w:rsidRPr="0030673B">
        <w:t xml:space="preserve"> &amp; Ilic, 2023). Perception may largely depend on how a patient interacts with other people in an organization apart from </w:t>
      </w:r>
      <w:proofErr w:type="gramStart"/>
      <w:r w:rsidRPr="0030673B">
        <w:t>Medical</w:t>
      </w:r>
      <w:proofErr w:type="gramEnd"/>
      <w:r w:rsidRPr="0030673B">
        <w:t xml:space="preserve"> practitioners; thus strengthening those aspects may improve overall perception.</w:t>
      </w:r>
    </w:p>
    <w:p w:rsidR="0030673B" w:rsidRPr="0030673B" w:rsidRDefault="0030673B" w:rsidP="00D20F1A">
      <w:pPr>
        <w:ind w:firstLine="720"/>
      </w:pPr>
      <w:r w:rsidRPr="0030673B">
        <w:t>Third, the implications highlighted in the study emphasize the value of steady investments in clinical facilities’ quality. To guarantee that safe care is promoted and delivered, the healthcare facilities should be well maintained, clean and accessible. Rasouli and Zarei (2015) identified that healthcare facilities may improve patient satisfaction and confidence by reinforcing tangible structure and maintaining equipment alive. This may enhance the patient experience and can decrease specific dissatisfaction subthemes concerning the environment.</w:t>
      </w:r>
    </w:p>
    <w:p w:rsidR="0030673B" w:rsidRPr="0030673B" w:rsidRDefault="0030673B" w:rsidP="00D20F1A">
      <w:pPr>
        <w:ind w:firstLine="720"/>
      </w:pPr>
      <w:r w:rsidRPr="0030673B">
        <w:t xml:space="preserve">Last of all, the study points to the need of adopting HIT in healthcare services. Healthcare institutions must integrate and effectively leverage technologies such as EHRs, telemedicine, and patient portals to enhance interprofessional collaboration and give patients increased access to their records. The use of HIT </w:t>
      </w:r>
      <w:r w:rsidRPr="0030673B">
        <w:lastRenderedPageBreak/>
        <w:t>systems can help to optimize care delivery, decrease the risks of adverse events and enhance patient engagement (Bates et al., 2020).</w:t>
      </w:r>
    </w:p>
    <w:p w:rsidR="0030673B" w:rsidRPr="0030673B" w:rsidRDefault="0030673B" w:rsidP="0030673B">
      <w:pPr>
        <w:rPr>
          <w:b/>
          <w:i/>
          <w:iCs/>
        </w:rPr>
      </w:pPr>
      <w:bookmarkStart w:id="285" w:name="_Toc54340756"/>
      <w:bookmarkStart w:id="286" w:name="_Toc56088035"/>
      <w:bookmarkStart w:id="287" w:name="_Toc56088284"/>
      <w:bookmarkStart w:id="288" w:name="_Toc65528119"/>
      <w:r w:rsidRPr="0030673B">
        <w:rPr>
          <w:b/>
          <w:i/>
          <w:iCs/>
        </w:rPr>
        <w:t>5.10.3</w:t>
      </w:r>
      <w:r w:rsidRPr="0030673B">
        <w:rPr>
          <w:b/>
          <w:i/>
          <w:iCs/>
        </w:rPr>
        <w:tab/>
        <w:t>Regulatory Policy Contribution</w:t>
      </w:r>
      <w:bookmarkEnd w:id="285"/>
      <w:bookmarkEnd w:id="286"/>
      <w:bookmarkEnd w:id="287"/>
      <w:bookmarkEnd w:id="288"/>
    </w:p>
    <w:p w:rsidR="0030673B" w:rsidRPr="0030673B" w:rsidRDefault="0030673B" w:rsidP="00D20F1A">
      <w:pPr>
        <w:ind w:firstLine="720"/>
      </w:pPr>
      <w:r w:rsidRPr="0030673B">
        <w:t>The implications of the findings of this study can be significant to the development of regulatory policies in the care industry. The findings of this research can help policymakers establish appropriate rules that support the adoption of components of patient-</w:t>
      </w:r>
      <w:proofErr w:type="spellStart"/>
      <w:r w:rsidRPr="0030673B">
        <w:t>centered</w:t>
      </w:r>
      <w:proofErr w:type="spellEnd"/>
      <w:r w:rsidRPr="0030673B">
        <w:t xml:space="preserve"> care within healthcare organizations. Given that the study focused on doctor-patient communication, regulatory bodies should persuade medical schools to incorporate communication and empathy into the certification curriculum.</w:t>
      </w:r>
    </w:p>
    <w:p w:rsidR="0030673B" w:rsidRPr="0030673B" w:rsidRDefault="0030673B" w:rsidP="00D20F1A">
      <w:pPr>
        <w:ind w:firstLine="720"/>
      </w:pPr>
      <w:r w:rsidRPr="0030673B">
        <w:t>Furthermore, the analysis of the data obtained in the framework of the present study indicates the need to adjust the regulatory policies that would promote concern with training and personal development of healthcare employees, especially nursing personnel and administrators. Another approach would suggest that certain policies push healthcare providers to promote interpersonal communications, customer-oriented skills, multicultural training programs. Such approaches would contribute to establishing a kinder and more comprehending attitude in healthcare facilities and, thus, better patients’ satisfaction.</w:t>
      </w:r>
    </w:p>
    <w:p w:rsidR="0030673B" w:rsidRPr="0030673B" w:rsidRDefault="0030673B" w:rsidP="00D20F1A">
      <w:pPr>
        <w:ind w:firstLine="720"/>
      </w:pPr>
      <w:r w:rsidRPr="0030673B">
        <w:t xml:space="preserve">In addition, there is a lack of legislation and regulatory policies that would define and advance the requirements for healthcare infrastructure and clinical establishments. Healthcare managers should set standards eligible for healthcare facility to enhance cleanliness, accessibilities, and patient comfort. Further, regulatory agencies should promote the adoption of Health Information Technology (HIT), offer incentives for practice adoption of technologies such as EHRs and telemedicine which help increase the </w:t>
      </w:r>
      <w:proofErr w:type="gramStart"/>
      <w:r w:rsidRPr="0030673B">
        <w:t>quality of care</w:t>
      </w:r>
      <w:proofErr w:type="gramEnd"/>
      <w:r w:rsidRPr="0030673B">
        <w:t xml:space="preserve"> delivery and patient satisfaction rates (Huang et al., 2014; Bates et al., 2020).</w:t>
      </w:r>
    </w:p>
    <w:p w:rsidR="0030673B" w:rsidRPr="0030673B" w:rsidRDefault="0030673B" w:rsidP="0030673B">
      <w:pPr>
        <w:rPr>
          <w:b/>
          <w:bCs/>
        </w:rPr>
      </w:pPr>
      <w:bookmarkStart w:id="289" w:name="_Toc54340757"/>
      <w:bookmarkStart w:id="290" w:name="_Toc56088036"/>
      <w:bookmarkStart w:id="291" w:name="_Toc56088285"/>
      <w:bookmarkStart w:id="292" w:name="_Toc65528120"/>
      <w:r w:rsidRPr="0030673B">
        <w:rPr>
          <w:b/>
          <w:bCs/>
        </w:rPr>
        <w:t>5.11</w:t>
      </w:r>
      <w:r w:rsidRPr="0030673B">
        <w:rPr>
          <w:b/>
          <w:bCs/>
        </w:rPr>
        <w:tab/>
        <w:t>LIMITATION OF THE RESEARCH</w:t>
      </w:r>
      <w:bookmarkEnd w:id="289"/>
      <w:bookmarkEnd w:id="290"/>
      <w:bookmarkEnd w:id="291"/>
      <w:bookmarkEnd w:id="292"/>
    </w:p>
    <w:p w:rsidR="0030673B" w:rsidRPr="0030673B" w:rsidRDefault="0030673B" w:rsidP="00D20F1A">
      <w:pPr>
        <w:ind w:firstLine="720"/>
      </w:pPr>
      <w:r w:rsidRPr="0030673B">
        <w:t xml:space="preserve">The investigation has some limitations, which should be addressed while </w:t>
      </w:r>
      <w:proofErr w:type="spellStart"/>
      <w:r w:rsidRPr="0030673B">
        <w:t>analyzing</w:t>
      </w:r>
      <w:proofErr w:type="spellEnd"/>
      <w:r w:rsidRPr="0030673B">
        <w:t xml:space="preserve"> its results. First, satisfaction data obtained from outpatient departments may not be generalizable to other departments or other services within the hospital. Also, this study is beneficial for the purpose of further academic research as it was conducted within the time and financial constraints, which are often characteristic of clinical investigations (Wu &amp; Lu, 2018; Grasso et al., 2021). Cross sectional study analysis takes a ‘snapshot’ of certain factors at a given time and can therefore not give a complete picture of the whole population, again this </w:t>
      </w:r>
      <w:proofErr w:type="gramStart"/>
      <w:r w:rsidRPr="0030673B">
        <w:t>make</w:t>
      </w:r>
      <w:proofErr w:type="gramEnd"/>
      <w:r w:rsidRPr="0030673B">
        <w:t xml:space="preserve"> it hard to determine direct cause and effect relationship. Moreover, differences in language </w:t>
      </w:r>
      <w:proofErr w:type="gramStart"/>
      <w:r w:rsidRPr="0030673B">
        <w:t>is</w:t>
      </w:r>
      <w:proofErr w:type="gramEnd"/>
      <w:r w:rsidRPr="0030673B">
        <w:t xml:space="preserve"> an issue because translated versions of most of the generic patient satisfaction questionnaires are in English and there is always loss of meaning during translation. Finally, they are a cross-sectional survey from a particular region only, so the results are not likely to be generalized to the entire Saudi </w:t>
      </w:r>
      <w:proofErr w:type="gramStart"/>
      <w:r w:rsidRPr="0030673B">
        <w:t>population..</w:t>
      </w:r>
      <w:proofErr w:type="gramEnd"/>
    </w:p>
    <w:p w:rsidR="0030673B" w:rsidRPr="0030673B" w:rsidRDefault="0030673B" w:rsidP="0030673B">
      <w:pPr>
        <w:rPr>
          <w:b/>
          <w:bCs/>
        </w:rPr>
      </w:pPr>
      <w:bookmarkStart w:id="293" w:name="_Toc54340760"/>
      <w:bookmarkStart w:id="294" w:name="_Toc56088039"/>
      <w:bookmarkStart w:id="295" w:name="_Toc56088288"/>
      <w:bookmarkStart w:id="296" w:name="_Toc65528123"/>
      <w:r w:rsidRPr="0030673B">
        <w:rPr>
          <w:b/>
          <w:bCs/>
        </w:rPr>
        <w:t>5.12</w:t>
      </w:r>
      <w:r w:rsidRPr="0030673B">
        <w:rPr>
          <w:b/>
          <w:bCs/>
        </w:rPr>
        <w:tab/>
        <w:t>RECOMMENDATIONS FOR FUTURE RESEARCH</w:t>
      </w:r>
      <w:bookmarkEnd w:id="293"/>
      <w:bookmarkEnd w:id="294"/>
      <w:bookmarkEnd w:id="295"/>
      <w:bookmarkEnd w:id="296"/>
    </w:p>
    <w:p w:rsidR="0030673B" w:rsidRPr="0030673B" w:rsidRDefault="0030673B" w:rsidP="00D20F1A">
      <w:pPr>
        <w:ind w:firstLine="720"/>
      </w:pPr>
      <w:r w:rsidRPr="0030673B">
        <w:t xml:space="preserve">As a conclusion, despite the significant implications resulting from this study for understanding the factors affecting patient satisfaction in outpatient departments, there are several interesting research </w:t>
      </w:r>
      <w:r w:rsidRPr="0030673B">
        <w:lastRenderedPageBreak/>
        <w:t>opportunities for future investigation of this subject that can improve the comprehension of healthcare service quality and patients’ perceptions in general. Subsequent research should expand patients across a wider array of categories and shouldn’t be limited to outpatient care since the current study is limited to that scope. If the research expands the view to other services such as inpatient, emergency and specialties, they will likely observe differences in the effects attributed by specific hospital department and service type (Wu &amp; Lu, 2018).</w:t>
      </w:r>
    </w:p>
    <w:p w:rsidR="0030673B" w:rsidRPr="0030673B" w:rsidRDefault="0030673B" w:rsidP="00D20F1A">
      <w:pPr>
        <w:ind w:firstLine="720"/>
      </w:pPr>
      <w:r w:rsidRPr="0030673B">
        <w:t>In addition, extending this study by conducting the research longitudinally might be relevant in addressing some of the methodological drawbacks of utilizing cross-sectional data. Based on the nature of the concept of patient satisfaction and its changes over time as the result of service improvements and healthcare innovations it would be more appropriate to take a longitudinal approach for research. It could also potentially contribute to creating better cause-and-effect associations – which are challenging to determine within a cross-sectional design (Grasso et al., 2021).</w:t>
      </w:r>
    </w:p>
    <w:p w:rsidR="0030673B" w:rsidRPr="0030673B" w:rsidRDefault="0030673B" w:rsidP="00D20F1A">
      <w:pPr>
        <w:ind w:firstLine="720"/>
      </w:pPr>
      <w:r w:rsidRPr="0030673B">
        <w:t xml:space="preserve">A possible direction of the development of the subsequent studies is to investigate the impact of language and culture on patient satisfaction. Due to the multilingual population in Saudi, it must be valuable to assess how linguistic and cultural factors may or may not bias patient perceptions and satisfaction, when these instruments rely mainly on English. There is a possibility where the researchers could further explore more of how different cultures, </w:t>
      </w:r>
      <w:proofErr w:type="spellStart"/>
      <w:r w:rsidRPr="0030673B">
        <w:t>behavior</w:t>
      </w:r>
      <w:proofErr w:type="spellEnd"/>
      <w:r w:rsidRPr="0030673B">
        <w:t>, and attitude towards health services differ in the subgroups of Saudi Arabia making patient care understanding more profound (</w:t>
      </w:r>
      <w:proofErr w:type="spellStart"/>
      <w:r w:rsidRPr="0030673B">
        <w:t>Stefanovska</w:t>
      </w:r>
      <w:proofErr w:type="spellEnd"/>
      <w:r w:rsidRPr="0030673B">
        <w:t xml:space="preserve"> &amp; Ilic, 2023</w:t>
      </w:r>
      <w:proofErr w:type="gramStart"/>
      <w:r w:rsidRPr="0030673B">
        <w:t>)..</w:t>
      </w:r>
      <w:proofErr w:type="gramEnd"/>
    </w:p>
    <w:p w:rsidR="0030673B" w:rsidRPr="0030673B" w:rsidRDefault="0030673B" w:rsidP="00D20F1A">
      <w:pPr>
        <w:ind w:firstLine="720"/>
      </w:pPr>
      <w:r w:rsidRPr="0030673B">
        <w:t xml:space="preserve">Moreover, there is the possibility to introduce innovative technologies in the healthcare industry: artificial intelligence, machine learning and </w:t>
      </w:r>
      <w:proofErr w:type="gramStart"/>
      <w:r w:rsidRPr="0030673B">
        <w:t>telemedicine .</w:t>
      </w:r>
      <w:proofErr w:type="gramEnd"/>
      <w:r w:rsidRPr="0030673B">
        <w:t xml:space="preserve"> It would be informative to know how patients themselves regard these developments of healthcare, especially as concerns to the quality of services, interaction and efficient organization of the service delivery. New studies, which focus on patient satisfaction in the context of digital health technologies, may reveal key antecedents of patient participation in and trust of these technologies.</w:t>
      </w:r>
    </w:p>
    <w:p w:rsidR="0030673B" w:rsidRPr="0030673B" w:rsidRDefault="0030673B" w:rsidP="00D20F1A">
      <w:pPr>
        <w:ind w:firstLine="720"/>
      </w:pPr>
      <w:r w:rsidRPr="0030673B">
        <w:t xml:space="preserve">Finally, more geographical generalization of this study in other regions within KSA or other countries would help in the generalization of these factors of patient satisfaction. This would reduce the geographical bias and give information on how overall healthcare system and access to </w:t>
      </w:r>
      <w:proofErr w:type="gramStart"/>
      <w:r w:rsidRPr="0030673B">
        <w:t>services,</w:t>
      </w:r>
      <w:proofErr w:type="gramEnd"/>
      <w:r w:rsidRPr="0030673B">
        <w:t xml:space="preserve"> socio-economic status of patients and many other practices may affect overall patient satisfaction. As future research enrolling a wider array of patients from various healthcare organizations would be conducted, the studies could present more comparative data that would aid in finding out the best practices and basic methods towards increasing patient satisfaction all over the world.</w:t>
      </w:r>
    </w:p>
    <w:p w:rsidR="0030673B" w:rsidRPr="0030673B" w:rsidRDefault="0030673B" w:rsidP="00D20F1A">
      <w:pPr>
        <w:ind w:firstLine="720"/>
      </w:pPr>
      <w:r w:rsidRPr="0030673B">
        <w:t xml:space="preserve">Altogether, one can point to vast potential for further research to develop the investigation of the patient satisfaction in healthcare </w:t>
      </w:r>
      <w:proofErr w:type="spellStart"/>
      <w:r w:rsidRPr="0030673B">
        <w:t>centers</w:t>
      </w:r>
      <w:proofErr w:type="spellEnd"/>
      <w:r w:rsidRPr="0030673B">
        <w:t xml:space="preserve"> more profound. Through studying various patient groups, using long-term designs, examining cultural and language aspects, </w:t>
      </w:r>
      <w:proofErr w:type="spellStart"/>
      <w:r w:rsidRPr="0030673B">
        <w:t>analyzing</w:t>
      </w:r>
      <w:proofErr w:type="spellEnd"/>
      <w:r w:rsidRPr="0030673B">
        <w:t xml:space="preserve"> the use of new technologies, and broadening geographical areas, next-generation studies will greatly advance the call for increasing the quality of and the quality experience in healthcare and related services </w:t>
      </w:r>
      <w:proofErr w:type="gramStart"/>
      <w:r w:rsidRPr="0030673B">
        <w:t>globally..</w:t>
      </w:r>
      <w:proofErr w:type="gramEnd"/>
    </w:p>
    <w:p w:rsidR="0030673B" w:rsidRPr="0030673B" w:rsidRDefault="0030673B" w:rsidP="0030673B">
      <w:pPr>
        <w:rPr>
          <w:b/>
          <w:bCs/>
        </w:rPr>
      </w:pPr>
      <w:bookmarkStart w:id="297" w:name="_Toc54340761"/>
      <w:bookmarkStart w:id="298" w:name="_Toc56088040"/>
      <w:bookmarkStart w:id="299" w:name="_Toc56088289"/>
      <w:bookmarkStart w:id="300" w:name="_Toc65528124"/>
      <w:r w:rsidRPr="0030673B">
        <w:rPr>
          <w:b/>
          <w:bCs/>
        </w:rPr>
        <w:lastRenderedPageBreak/>
        <w:t>5.13</w:t>
      </w:r>
      <w:r w:rsidRPr="0030673B">
        <w:rPr>
          <w:b/>
          <w:bCs/>
        </w:rPr>
        <w:tab/>
        <w:t>CONCLUSION</w:t>
      </w:r>
      <w:bookmarkEnd w:id="297"/>
      <w:bookmarkEnd w:id="298"/>
      <w:bookmarkEnd w:id="299"/>
      <w:bookmarkEnd w:id="300"/>
      <w:r w:rsidRPr="0030673B">
        <w:rPr>
          <w:b/>
          <w:bCs/>
        </w:rPr>
        <w:t xml:space="preserve"> </w:t>
      </w:r>
    </w:p>
    <w:p w:rsidR="0030673B" w:rsidRPr="0030673B" w:rsidRDefault="0030673B" w:rsidP="00D20F1A">
      <w:pPr>
        <w:ind w:firstLine="720"/>
      </w:pPr>
      <w:r w:rsidRPr="0030673B">
        <w:t xml:space="preserve">This study has identified numerous aspects of OPDs and their association with patients’ satisfaction with doctor services, communication with nurses and other stuff, administrative services, the availability and quality of clinical facilities, and the implementation of Health Information Technology (HIT). The results stress the importance of providing high quality of care, including how providers interact with the patients, as an important driver of patient satisfaction. A direct and positive relationship with patient satisfaction was noted on doctor-patient communication, nurses and staff approach, and the quality of clinical services, giving credence to patient centeredness that is prevalent in many developed health care systems </w:t>
      </w:r>
      <w:proofErr w:type="gramStart"/>
      <w:r w:rsidRPr="0030673B">
        <w:t>world</w:t>
      </w:r>
      <w:proofErr w:type="gramEnd"/>
      <w:r w:rsidRPr="0030673B">
        <w:t xml:space="preserve"> over.</w:t>
      </w:r>
    </w:p>
    <w:p w:rsidR="0030673B" w:rsidRPr="0030673B" w:rsidRDefault="0030673B" w:rsidP="00D20F1A">
      <w:pPr>
        <w:ind w:firstLine="720"/>
      </w:pPr>
      <w:r w:rsidRPr="0030673B">
        <w:t xml:space="preserve">However, the study also found that processes carrying out registration services had no impact on patient satisfaction as post by other studies that administrative barriers are not determinants of patient satisfaction in the same way as clinical services. Furthermore, the use of HIT systems was also reported to have improved the patient satisfaction thus proving that the incorporation of systems </w:t>
      </w:r>
      <w:proofErr w:type="gramStart"/>
      <w:r w:rsidRPr="0030673B">
        <w:t>have</w:t>
      </w:r>
      <w:proofErr w:type="gramEnd"/>
      <w:r w:rsidRPr="0030673B">
        <w:t xml:space="preserve"> enhanced the efficiency of the health systems.</w:t>
      </w:r>
    </w:p>
    <w:p w:rsidR="0030673B" w:rsidRPr="0030673B" w:rsidRDefault="0030673B" w:rsidP="00D20F1A">
      <w:pPr>
        <w:ind w:firstLine="720"/>
      </w:pPr>
      <w:r w:rsidRPr="0030673B">
        <w:t>Although these studies provide useful and promising results, some of the limits need to be recognized: regional location of participants and cross-sectional research design. The considerations might be addressed in future studies to include the variety of the healthcare contexts, the use of the longitudinal studies and cultural and language differences in patient satisfaction. Broadening research for the effects of new civilizations of healthcare infrastructure like tele-medicine and artificial intelligent interface on patient experience will contribute significantly for the enhanced comprehension of its impacts in the digital era.</w:t>
      </w:r>
    </w:p>
    <w:p w:rsidR="0030673B" w:rsidRPr="0030673B" w:rsidRDefault="0030673B" w:rsidP="00D20F1A">
      <w:pPr>
        <w:ind w:firstLine="720"/>
      </w:pPr>
      <w:r w:rsidRPr="0030673B">
        <w:t xml:space="preserve">In aggregate, this study has given a detailed consideration of the antecedents of patient satisfaction in OPD with actionable suggestions pertinent to healthcare practitioners to deliver better quality, increase patents’ involvement, and utilise technology to address the rising consumer expectations of quality health care services. It also revealed that irrespective of the type of healthcare setting, advanced doctor-patient relationship, well-trained employees, well-equipped and well-designed clinical environment, and organizational promotion of new technology may increase patient satisfaction and overall population </w:t>
      </w:r>
      <w:proofErr w:type="gramStart"/>
      <w:r w:rsidRPr="0030673B">
        <w:t>health..</w:t>
      </w:r>
      <w:proofErr w:type="gramEnd"/>
    </w:p>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 w:rsidR="0030673B" w:rsidRPr="0030673B" w:rsidRDefault="0030673B" w:rsidP="0030673B">
      <w:pPr>
        <w:rPr>
          <w:b/>
        </w:rPr>
      </w:pPr>
      <w:r w:rsidRPr="0030673B">
        <w:br w:type="page"/>
      </w:r>
    </w:p>
    <w:p w:rsidR="0030673B" w:rsidRPr="0030673B" w:rsidRDefault="0030673B" w:rsidP="0030673B">
      <w:pPr>
        <w:rPr>
          <w:b/>
        </w:rPr>
      </w:pPr>
      <w:r w:rsidRPr="0030673B">
        <w:rPr>
          <w:b/>
        </w:rPr>
        <w:lastRenderedPageBreak/>
        <w:t xml:space="preserve">REFERENCES </w:t>
      </w:r>
    </w:p>
    <w:p w:rsidR="0030673B" w:rsidRPr="0030673B" w:rsidRDefault="0030673B" w:rsidP="0030673B">
      <w:r w:rsidRPr="0030673B">
        <w:t xml:space="preserve"> </w:t>
      </w:r>
      <w:proofErr w:type="spellStart"/>
      <w:r w:rsidRPr="0030673B">
        <w:t>Altuntas</w:t>
      </w:r>
      <w:proofErr w:type="spellEnd"/>
      <w:r w:rsidRPr="0030673B">
        <w:t xml:space="preserve">, S., Dereli, T., &amp; Yilmaz, M. K. (2018). Evaluation of hospital service quality and patient satisfaction: An empirical investigation in Istanbul, Turkey. </w:t>
      </w:r>
      <w:r w:rsidRPr="0030673B">
        <w:rPr>
          <w:i/>
          <w:iCs/>
        </w:rPr>
        <w:t>Total Quality Management &amp; Business Excellence</w:t>
      </w:r>
      <w:r w:rsidRPr="0030673B">
        <w:t>, 29(7-8), 882-897.</w:t>
      </w:r>
    </w:p>
    <w:p w:rsidR="0030673B" w:rsidRPr="0030673B" w:rsidRDefault="0030673B" w:rsidP="0030673B">
      <w:r w:rsidRPr="0030673B">
        <w:t xml:space="preserve">Siddiqui, M. U. H., </w:t>
      </w:r>
      <w:proofErr w:type="spellStart"/>
      <w:r w:rsidRPr="0030673B">
        <w:t>Khafagy</w:t>
      </w:r>
      <w:proofErr w:type="spellEnd"/>
      <w:r w:rsidRPr="0030673B">
        <w:t xml:space="preserve">, A. A., &amp; Majeed, F. (2023). Improving patient experience at an outpatient clinic using continuous improvement tools. </w:t>
      </w:r>
      <w:r w:rsidRPr="0030673B">
        <w:rPr>
          <w:i/>
          <w:iCs/>
        </w:rPr>
        <w:t>Healthcare</w:t>
      </w:r>
      <w:r w:rsidRPr="0030673B">
        <w:t xml:space="preserve">, 11(16), 2301. </w:t>
      </w:r>
    </w:p>
    <w:p w:rsidR="0030673B" w:rsidRPr="0030673B" w:rsidRDefault="0030673B" w:rsidP="0030673B">
      <w:r w:rsidRPr="0030673B">
        <w:t xml:space="preserve">Pedro, J., </w:t>
      </w:r>
      <w:proofErr w:type="spellStart"/>
      <w:r w:rsidRPr="0030673B">
        <w:t>Maroco</w:t>
      </w:r>
      <w:proofErr w:type="spellEnd"/>
      <w:r w:rsidRPr="0030673B">
        <w:t xml:space="preserve">, J., &amp; Afonso, A. (2023). Communication and nurse-patient relationship as key drivers of patient satisfaction in outpatient clinics. </w:t>
      </w:r>
      <w:r w:rsidRPr="0030673B">
        <w:rPr>
          <w:i/>
          <w:iCs/>
        </w:rPr>
        <w:t>International Journal of Health Sciences</w:t>
      </w:r>
      <w:r w:rsidRPr="0030673B">
        <w:t>, 8(2), 157-163.</w:t>
      </w:r>
    </w:p>
    <w:p w:rsidR="0030673B" w:rsidRPr="0030673B" w:rsidRDefault="0030673B" w:rsidP="0030673B">
      <w:proofErr w:type="spellStart"/>
      <w:r w:rsidRPr="0030673B">
        <w:t>Stefanovska</w:t>
      </w:r>
      <w:proofErr w:type="spellEnd"/>
      <w:r w:rsidRPr="0030673B">
        <w:t xml:space="preserve">, M., &amp; Ilic, T. (2023). Empathy and nurse-patient interactions in healthcare: Enhancing patient satisfaction. </w:t>
      </w:r>
      <w:r w:rsidRPr="0030673B">
        <w:rPr>
          <w:i/>
          <w:iCs/>
        </w:rPr>
        <w:t>Nursing Research Journal</w:t>
      </w:r>
      <w:r w:rsidRPr="0030673B">
        <w:t>, 12(3), 203-210.</w:t>
      </w:r>
    </w:p>
    <w:p w:rsidR="0030673B" w:rsidRPr="0030673B" w:rsidRDefault="0030673B" w:rsidP="0030673B">
      <w:r w:rsidRPr="0030673B">
        <w:t xml:space="preserve">Marais, C., &amp; Noble, D. (2021). The impact of registration procedures on patient satisfaction in outpatient clinics. </w:t>
      </w:r>
      <w:r w:rsidRPr="0030673B">
        <w:rPr>
          <w:i/>
          <w:iCs/>
        </w:rPr>
        <w:t>Journal of Healthcare Administration</w:t>
      </w:r>
      <w:r w:rsidRPr="0030673B">
        <w:t>, 19(2), 35-43.</w:t>
      </w:r>
    </w:p>
    <w:p w:rsidR="0030673B" w:rsidRPr="0030673B" w:rsidRDefault="0030673B" w:rsidP="0030673B">
      <w:r w:rsidRPr="0030673B">
        <w:t>Al-</w:t>
      </w:r>
      <w:proofErr w:type="spellStart"/>
      <w:r w:rsidRPr="0030673B">
        <w:t>Refaie</w:t>
      </w:r>
      <w:proofErr w:type="spellEnd"/>
      <w:r w:rsidRPr="0030673B">
        <w:t xml:space="preserve">, A., et al. (2022). Impact of healthcare provider communication on patient satisfaction: A study from Saudi Arabia. </w:t>
      </w:r>
      <w:r w:rsidRPr="0030673B">
        <w:rPr>
          <w:i/>
          <w:iCs/>
        </w:rPr>
        <w:t>Journal of Healthcare Management</w:t>
      </w:r>
      <w:r w:rsidRPr="0030673B">
        <w:t>, 67(3), 123-134.</w:t>
      </w:r>
    </w:p>
    <w:p w:rsidR="0030673B" w:rsidRPr="0030673B" w:rsidRDefault="0030673B" w:rsidP="0030673B">
      <w:r w:rsidRPr="0030673B">
        <w:t xml:space="preserve">Jha, A. K., et al. (2018). How healthcare organizations can improve patient satisfaction through better scheduling systems. </w:t>
      </w:r>
      <w:r w:rsidRPr="0030673B">
        <w:rPr>
          <w:i/>
          <w:iCs/>
        </w:rPr>
        <w:t>Journal of Healthcare Quality</w:t>
      </w:r>
      <w:r w:rsidRPr="0030673B">
        <w:t>, 40(2), 43-52.</w:t>
      </w:r>
    </w:p>
    <w:p w:rsidR="0030673B" w:rsidRPr="0030673B" w:rsidRDefault="0030673B" w:rsidP="0030673B">
      <w:r w:rsidRPr="0030673B">
        <w:t xml:space="preserve">Kara, S., et al. (2021). Optimizing outpatient clinic schedules to improve patient satisfaction and operational efficiency. </w:t>
      </w:r>
      <w:r w:rsidRPr="0030673B">
        <w:rPr>
          <w:i/>
          <w:iCs/>
        </w:rPr>
        <w:t>International Journal of Health Systems and Policy</w:t>
      </w:r>
      <w:r w:rsidRPr="0030673B">
        <w:t>, 8(1), 59-67</w:t>
      </w:r>
    </w:p>
    <w:p w:rsidR="0030673B" w:rsidRPr="0030673B" w:rsidRDefault="0030673B" w:rsidP="0030673B">
      <w:r w:rsidRPr="0030673B">
        <w:t xml:space="preserve">Thakur, M., et al. (2020). Patient satisfaction and the role of administrative services in outpatient settings: A comparative study. </w:t>
      </w:r>
      <w:r w:rsidRPr="0030673B">
        <w:rPr>
          <w:i/>
          <w:iCs/>
        </w:rPr>
        <w:t>International Journal of Health Services</w:t>
      </w:r>
      <w:r w:rsidRPr="0030673B">
        <w:t>, 50(2), 123-135</w:t>
      </w:r>
    </w:p>
    <w:p w:rsidR="0030673B" w:rsidRPr="0030673B" w:rsidRDefault="0030673B" w:rsidP="0030673B">
      <w:r w:rsidRPr="0030673B">
        <w:t xml:space="preserve">Valente, M., et al. (2022). Factors influencing patient satisfaction in outpatient departments: A systematic review. </w:t>
      </w:r>
      <w:r w:rsidRPr="0030673B">
        <w:rPr>
          <w:i/>
          <w:iCs/>
        </w:rPr>
        <w:t>BMC Health Services Research</w:t>
      </w:r>
      <w:r w:rsidRPr="0030673B">
        <w:t>, 22, 345</w:t>
      </w:r>
    </w:p>
    <w:p w:rsidR="0030673B" w:rsidRPr="0030673B" w:rsidRDefault="0030673B" w:rsidP="0030673B">
      <w:r w:rsidRPr="0030673B">
        <w:t>Al-</w:t>
      </w:r>
      <w:proofErr w:type="spellStart"/>
      <w:r w:rsidRPr="0030673B">
        <w:t>Refaie</w:t>
      </w:r>
      <w:proofErr w:type="spellEnd"/>
      <w:r w:rsidRPr="0030673B">
        <w:t xml:space="preserve">, A., et al. (2022). Impact of healthcare provider communication on patient satisfaction: A study from Saudi Arabia. </w:t>
      </w:r>
      <w:r w:rsidRPr="0030673B">
        <w:rPr>
          <w:i/>
          <w:iCs/>
        </w:rPr>
        <w:t>Journal of Healthcare Management</w:t>
      </w:r>
      <w:r w:rsidRPr="0030673B">
        <w:t>, 67(3), 123-134.</w:t>
      </w:r>
    </w:p>
    <w:p w:rsidR="0030673B" w:rsidRPr="0030673B" w:rsidRDefault="0030673B" w:rsidP="0030673B">
      <w:r w:rsidRPr="0030673B">
        <w:t xml:space="preserve">Al-Qirim, N. (2020). The role of healthcare technology in enhancing patient satisfaction in outpatient clinics. </w:t>
      </w:r>
      <w:r w:rsidRPr="0030673B">
        <w:rPr>
          <w:i/>
          <w:iCs/>
        </w:rPr>
        <w:t>International Journal of Health Management</w:t>
      </w:r>
      <w:r w:rsidRPr="0030673B">
        <w:t>, 9(4), 123-132.</w:t>
      </w:r>
    </w:p>
    <w:p w:rsidR="0030673B" w:rsidRPr="0030673B" w:rsidRDefault="0030673B" w:rsidP="0030673B">
      <w:r w:rsidRPr="0030673B">
        <w:t xml:space="preserve">Gok, O., et al. (2021). The role of clinical facilities in patient satisfaction: A comparative study. </w:t>
      </w:r>
      <w:r w:rsidRPr="0030673B">
        <w:rPr>
          <w:i/>
          <w:iCs/>
        </w:rPr>
        <w:t>BMC Health Services Research</w:t>
      </w:r>
      <w:r w:rsidRPr="0030673B">
        <w:t>, 21, 451</w:t>
      </w:r>
    </w:p>
    <w:p w:rsidR="0030673B" w:rsidRPr="0030673B" w:rsidRDefault="0030673B" w:rsidP="0030673B">
      <w:r w:rsidRPr="0030673B">
        <w:t xml:space="preserve">Shamsudin, M. S., et al. (2022). The impact of healthcare technology on patient satisfaction in outpatient clinics. </w:t>
      </w:r>
      <w:r w:rsidRPr="0030673B">
        <w:rPr>
          <w:i/>
          <w:iCs/>
        </w:rPr>
        <w:t>International Journal of Healthcare Technology</w:t>
      </w:r>
      <w:r w:rsidRPr="0030673B">
        <w:t>, 10(4), 89-95</w:t>
      </w:r>
    </w:p>
    <w:p w:rsidR="0030673B" w:rsidRPr="0030673B" w:rsidRDefault="0030673B" w:rsidP="0030673B">
      <w:r w:rsidRPr="0030673B">
        <w:lastRenderedPageBreak/>
        <w:t xml:space="preserve">Zhang, Y., et al. (2020). Healthcare technology and its role in improving patient outcomes and satisfaction. </w:t>
      </w:r>
      <w:r w:rsidRPr="0030673B">
        <w:rPr>
          <w:i/>
          <w:iCs/>
        </w:rPr>
        <w:t>Journal of Healthcare Innovation</w:t>
      </w:r>
      <w:r w:rsidRPr="0030673B">
        <w:t>, 6(1), 30-40</w:t>
      </w:r>
    </w:p>
    <w:p w:rsidR="0030673B" w:rsidRPr="0030673B" w:rsidRDefault="0030673B" w:rsidP="0030673B">
      <w:r w:rsidRPr="0030673B">
        <w:t>Al-</w:t>
      </w:r>
      <w:proofErr w:type="spellStart"/>
      <w:r w:rsidRPr="0030673B">
        <w:t>Shorbaji</w:t>
      </w:r>
      <w:proofErr w:type="spellEnd"/>
      <w:r w:rsidRPr="0030673B">
        <w:t xml:space="preserve">, N., et al. (2019). Impact of Electronic Health Records on patient satisfaction in primary care. </w:t>
      </w:r>
      <w:r w:rsidRPr="0030673B">
        <w:rPr>
          <w:i/>
          <w:iCs/>
        </w:rPr>
        <w:t>Journal of Healthcare Informatics</w:t>
      </w:r>
      <w:r w:rsidRPr="0030673B">
        <w:t>, 15(3), 115-122</w:t>
      </w:r>
    </w:p>
    <w:p w:rsidR="0030673B" w:rsidRPr="0030673B" w:rsidRDefault="0030673B" w:rsidP="0030673B">
      <w:r w:rsidRPr="0030673B">
        <w:t xml:space="preserve">Baker, S. R., et al. (2018). The effect of Electronic Health Records on medication errors and patient safety. </w:t>
      </w:r>
      <w:r w:rsidRPr="0030673B">
        <w:rPr>
          <w:i/>
          <w:iCs/>
        </w:rPr>
        <w:t>Journal of Patient Safety</w:t>
      </w:r>
      <w:r w:rsidRPr="0030673B">
        <w:t>, 14(4), 202-208.</w:t>
      </w:r>
    </w:p>
    <w:p w:rsidR="0030673B" w:rsidRPr="0030673B" w:rsidRDefault="0030673B" w:rsidP="0030673B">
      <w:r w:rsidRPr="0030673B">
        <w:t xml:space="preserve">Berg, M. (2019). The role of healthcare technology in improving patient satisfaction. </w:t>
      </w:r>
      <w:r w:rsidRPr="0030673B">
        <w:rPr>
          <w:i/>
          <w:iCs/>
        </w:rPr>
        <w:t>Health Technology Journal</w:t>
      </w:r>
      <w:r w:rsidRPr="0030673B">
        <w:t>, 7(1), 29-35</w:t>
      </w:r>
    </w:p>
    <w:p w:rsidR="0030673B" w:rsidRPr="0030673B" w:rsidRDefault="0030673B" w:rsidP="0030673B">
      <w:r w:rsidRPr="0030673B">
        <w:t xml:space="preserve">Greenhalgh, T., et al. (2020). The impact of healthcare IT systems on hospital efficiency and patient satisfaction. </w:t>
      </w:r>
      <w:r w:rsidRPr="0030673B">
        <w:rPr>
          <w:i/>
          <w:iCs/>
        </w:rPr>
        <w:t>Journal of Health Informatics</w:t>
      </w:r>
      <w:r w:rsidRPr="0030673B">
        <w:t>, 22(5), 45-56.</w:t>
      </w:r>
    </w:p>
    <w:p w:rsidR="0030673B" w:rsidRPr="0030673B" w:rsidRDefault="0030673B" w:rsidP="0030673B">
      <w:r w:rsidRPr="0030673B">
        <w:t xml:space="preserve">Kuhn, C., et al. (2021). The effect of patient portals on patient satisfaction in outpatient clinics. </w:t>
      </w:r>
      <w:r w:rsidRPr="0030673B">
        <w:rPr>
          <w:i/>
          <w:iCs/>
        </w:rPr>
        <w:t>Journal of Medical Systems</w:t>
      </w:r>
      <w:r w:rsidRPr="0030673B">
        <w:t>, 45(3), 73-80.</w:t>
      </w:r>
    </w:p>
    <w:p w:rsidR="0030673B" w:rsidRPr="0030673B" w:rsidRDefault="0030673B" w:rsidP="0030673B">
      <w:r w:rsidRPr="0030673B">
        <w:t xml:space="preserve">Neves, R., et al. (2021). EHR and telemedicine platforms: A study on patient satisfaction in healthcare. </w:t>
      </w:r>
      <w:r w:rsidRPr="0030673B">
        <w:rPr>
          <w:i/>
          <w:iCs/>
        </w:rPr>
        <w:t>International Journal of Health Services</w:t>
      </w:r>
      <w:r w:rsidRPr="0030673B">
        <w:t>, 45(2), 121-130.</w:t>
      </w:r>
    </w:p>
    <w:p w:rsidR="0030673B" w:rsidRPr="0030673B" w:rsidRDefault="0030673B" w:rsidP="0030673B">
      <w:r w:rsidRPr="0030673B">
        <w:t xml:space="preserve">Rojas, M., et al. (2022). Health Information Technology and care coordination in chronic disease management. </w:t>
      </w:r>
      <w:r w:rsidRPr="0030673B">
        <w:rPr>
          <w:i/>
          <w:iCs/>
        </w:rPr>
        <w:t>American Journal of Managed Care</w:t>
      </w:r>
      <w:r w:rsidRPr="0030673B">
        <w:t>, 28(4), 153-160</w:t>
      </w:r>
    </w:p>
    <w:p w:rsidR="0030673B" w:rsidRPr="0030673B" w:rsidRDefault="0030673B" w:rsidP="0030673B">
      <w:r w:rsidRPr="0030673B">
        <w:t xml:space="preserve">Yoo, H. S., &amp; Lee, M. (2018). The effects of telemedicine and patient portals on patient engagement and satisfaction. </w:t>
      </w:r>
      <w:r w:rsidRPr="0030673B">
        <w:rPr>
          <w:i/>
          <w:iCs/>
        </w:rPr>
        <w:t>Health Informatics Journal</w:t>
      </w:r>
      <w:r w:rsidRPr="0030673B">
        <w:t>, 24(4), 451-458</w:t>
      </w:r>
    </w:p>
    <w:p w:rsidR="0030673B" w:rsidRPr="0030673B" w:rsidRDefault="0030673B" w:rsidP="0030673B">
      <w:r w:rsidRPr="0030673B">
        <w:t xml:space="preserve">Smith, S. R., et al. (2020). Telemedicine adoption and its impact on patient satisfaction in rural settings. </w:t>
      </w:r>
      <w:r w:rsidRPr="0030673B">
        <w:rPr>
          <w:i/>
          <w:iCs/>
        </w:rPr>
        <w:t>Telemedicine and e-Health</w:t>
      </w:r>
      <w:r w:rsidRPr="0030673B">
        <w:t>, 26(2), 98-104</w:t>
      </w:r>
    </w:p>
    <w:p w:rsidR="0030673B" w:rsidRPr="0030673B" w:rsidRDefault="0030673B" w:rsidP="0030673B"/>
    <w:p w:rsidR="0030673B" w:rsidRPr="0030673B" w:rsidRDefault="0030673B" w:rsidP="0030673B">
      <w:pPr>
        <w:numPr>
          <w:ilvl w:val="0"/>
          <w:numId w:val="18"/>
        </w:numPr>
        <w:rPr>
          <w:lang w:val="en-US"/>
        </w:rPr>
      </w:pPr>
      <w:r w:rsidRPr="0030673B">
        <w:rPr>
          <w:lang w:val="en-US"/>
        </w:rPr>
        <w:t xml:space="preserve">Abass G, </w:t>
      </w:r>
      <w:proofErr w:type="spellStart"/>
      <w:r w:rsidRPr="0030673B">
        <w:rPr>
          <w:lang w:val="en-US"/>
        </w:rPr>
        <w:t>Asery</w:t>
      </w:r>
      <w:proofErr w:type="spellEnd"/>
      <w:r w:rsidRPr="0030673B">
        <w:rPr>
          <w:lang w:val="en-US"/>
        </w:rPr>
        <w:t xml:space="preserve"> A, Al Badr A, </w:t>
      </w:r>
      <w:proofErr w:type="spellStart"/>
      <w:r w:rsidRPr="0030673B">
        <w:rPr>
          <w:lang w:val="en-US"/>
        </w:rPr>
        <w:t>AlMaghlouth</w:t>
      </w:r>
      <w:proofErr w:type="spellEnd"/>
      <w:r w:rsidRPr="0030673B">
        <w:rPr>
          <w:lang w:val="en-US"/>
        </w:rPr>
        <w:t xml:space="preserve"> A, </w:t>
      </w:r>
      <w:proofErr w:type="spellStart"/>
      <w:r w:rsidRPr="0030673B">
        <w:rPr>
          <w:lang w:val="en-US"/>
        </w:rPr>
        <w:t>AlOtaiby</w:t>
      </w:r>
      <w:proofErr w:type="spellEnd"/>
      <w:r w:rsidRPr="0030673B">
        <w:rPr>
          <w:lang w:val="en-US"/>
        </w:rPr>
        <w:t xml:space="preserve"> S, Heena H. Patient satisfaction with the emergency department services at an academic teaching hospital. Journal of Family Medicine and Primary Care. 2021 Apr;10(4):1718. </w:t>
      </w:r>
    </w:p>
    <w:p w:rsidR="0030673B" w:rsidRPr="0030673B" w:rsidRDefault="0030673B" w:rsidP="0030673B">
      <w:pPr>
        <w:numPr>
          <w:ilvl w:val="0"/>
          <w:numId w:val="18"/>
        </w:numPr>
        <w:rPr>
          <w:lang w:val="en-US"/>
        </w:rPr>
      </w:pPr>
      <w:proofErr w:type="spellStart"/>
      <w:r w:rsidRPr="0030673B">
        <w:t>Abouelmehdi</w:t>
      </w:r>
      <w:proofErr w:type="spellEnd"/>
      <w:r w:rsidRPr="0030673B">
        <w:t>, K., Beni-</w:t>
      </w:r>
      <w:proofErr w:type="spellStart"/>
      <w:r w:rsidRPr="0030673B">
        <w:t>Hessane</w:t>
      </w:r>
      <w:proofErr w:type="spellEnd"/>
      <w:r w:rsidRPr="0030673B">
        <w:t xml:space="preserve">, A., &amp; </w:t>
      </w:r>
      <w:proofErr w:type="spellStart"/>
      <w:r w:rsidRPr="0030673B">
        <w:t>Khaloufi</w:t>
      </w:r>
      <w:proofErr w:type="spellEnd"/>
      <w:r w:rsidRPr="0030673B">
        <w:t xml:space="preserve">, H. (2018). Big healthcare data: preserving security and privacy. Journal of big data, 5(1), 1-18. </w:t>
      </w:r>
      <w:hyperlink r:id="rId37" w:history="1">
        <w:r w:rsidRPr="0030673B">
          <w:rPr>
            <w:rStyle w:val="Hyperlink"/>
            <w:lang w:val="en-US"/>
          </w:rPr>
          <w:t>https://doi.org/10.1186/s40537-017-0110-7</w:t>
        </w:r>
      </w:hyperlink>
    </w:p>
    <w:p w:rsidR="0030673B" w:rsidRPr="0030673B" w:rsidRDefault="0030673B" w:rsidP="0030673B">
      <w:pPr>
        <w:numPr>
          <w:ilvl w:val="0"/>
          <w:numId w:val="18"/>
        </w:numPr>
        <w:rPr>
          <w:lang w:val="en-US"/>
        </w:rPr>
      </w:pPr>
      <w:r w:rsidRPr="0030673B">
        <w:t>Ahmad, B. I. E. (2018). An overview of patient acceptance of health information technology in developing countries: A review and conceptual model. International Journal of Information Systems and Project Management, 3(1), 29-48.</w:t>
      </w:r>
    </w:p>
    <w:p w:rsidR="0030673B" w:rsidRPr="0030673B" w:rsidRDefault="0030673B" w:rsidP="0030673B">
      <w:pPr>
        <w:numPr>
          <w:ilvl w:val="0"/>
          <w:numId w:val="18"/>
        </w:numPr>
        <w:rPr>
          <w:lang w:val="en-US"/>
        </w:rPr>
      </w:pPr>
      <w:r w:rsidRPr="0030673B">
        <w:rPr>
          <w:lang w:val="en-US"/>
        </w:rPr>
        <w:t xml:space="preserve">Ahmad, S., Singh, J., Kamal, M. A., &amp; Shaikh, Z. M. (2020). Person-centered care design with reference to healthcare outcomes in Saudi Arabia: an overview. Am J Civ Eng Archit, 8(3), 91-96. </w:t>
      </w:r>
      <w:proofErr w:type="spellStart"/>
      <w:r w:rsidRPr="0030673B">
        <w:rPr>
          <w:lang w:val="en-US"/>
        </w:rPr>
        <w:t>doi</w:t>
      </w:r>
      <w:proofErr w:type="spellEnd"/>
      <w:r w:rsidRPr="0030673B">
        <w:rPr>
          <w:lang w:val="en-US"/>
        </w:rPr>
        <w:t>: 10.12691/ajcea-8-3-2</w:t>
      </w:r>
    </w:p>
    <w:p w:rsidR="0030673B" w:rsidRPr="0030673B" w:rsidRDefault="0030673B" w:rsidP="0030673B">
      <w:pPr>
        <w:numPr>
          <w:ilvl w:val="0"/>
          <w:numId w:val="18"/>
        </w:numPr>
        <w:rPr>
          <w:lang w:val="en-US"/>
        </w:rPr>
      </w:pPr>
      <w:r w:rsidRPr="0030673B">
        <w:rPr>
          <w:lang w:val="en-US"/>
        </w:rPr>
        <w:lastRenderedPageBreak/>
        <w:t xml:space="preserve">Al Kuwaiti, A., Al Muhanna, F. A., &amp; Al Amri, S. (2018). Implementation of Digital Health Technology at Academic Medical Centers in Saudi Arabia. Oman medical journal, 33(5), 367–373. </w:t>
      </w:r>
    </w:p>
    <w:p w:rsidR="0030673B" w:rsidRPr="0030673B" w:rsidRDefault="0030673B" w:rsidP="0030673B">
      <w:pPr>
        <w:numPr>
          <w:ilvl w:val="0"/>
          <w:numId w:val="18"/>
        </w:numPr>
        <w:rPr>
          <w:lang w:val="en-US"/>
        </w:rPr>
      </w:pPr>
      <w:r w:rsidRPr="0030673B">
        <w:rPr>
          <w:lang w:val="en-US"/>
        </w:rPr>
        <w:t xml:space="preserve">Al Shamsi H, Almutairi AG, Al </w:t>
      </w:r>
      <w:proofErr w:type="spellStart"/>
      <w:r w:rsidRPr="0030673B">
        <w:rPr>
          <w:lang w:val="en-US"/>
        </w:rPr>
        <w:t>Mashrafi</w:t>
      </w:r>
      <w:proofErr w:type="spellEnd"/>
      <w:r w:rsidRPr="0030673B">
        <w:rPr>
          <w:lang w:val="en-US"/>
        </w:rPr>
        <w:t xml:space="preserve"> S, Al </w:t>
      </w:r>
      <w:proofErr w:type="spellStart"/>
      <w:r w:rsidRPr="0030673B">
        <w:rPr>
          <w:lang w:val="en-US"/>
        </w:rPr>
        <w:t>Kalbani</w:t>
      </w:r>
      <w:proofErr w:type="spellEnd"/>
      <w:r w:rsidRPr="0030673B">
        <w:rPr>
          <w:lang w:val="en-US"/>
        </w:rPr>
        <w:t xml:space="preserve"> T. Implications of Language Barriers for Healthcare: A Systematic Review. Oman Med J. 2020 Apr 30;35(2): e122. </w:t>
      </w:r>
      <w:proofErr w:type="spellStart"/>
      <w:r w:rsidRPr="0030673B">
        <w:rPr>
          <w:lang w:val="en-US"/>
        </w:rPr>
        <w:t>doi</w:t>
      </w:r>
      <w:proofErr w:type="spellEnd"/>
      <w:r w:rsidRPr="0030673B">
        <w:rPr>
          <w:lang w:val="en-US"/>
        </w:rPr>
        <w:t xml:space="preserve">: 10.5001/omj.2020.40. PMID: 32411417; PMCID: PMC7201401. </w:t>
      </w:r>
    </w:p>
    <w:p w:rsidR="0030673B" w:rsidRPr="0030673B" w:rsidRDefault="0030673B" w:rsidP="0030673B">
      <w:pPr>
        <w:numPr>
          <w:ilvl w:val="0"/>
          <w:numId w:val="18"/>
        </w:numPr>
        <w:rPr>
          <w:lang w:val="en-US"/>
        </w:rPr>
      </w:pPr>
      <w:r w:rsidRPr="0030673B">
        <w:rPr>
          <w:lang w:val="en-US"/>
        </w:rPr>
        <w:t xml:space="preserve">Al-Abri, R., &amp; Al-Balushi, A. (2019). Patient satisfaction survey as a tool towards quality improvement. Oman medical journal, 29(1), 3–7. </w:t>
      </w:r>
    </w:p>
    <w:p w:rsidR="0030673B" w:rsidRPr="0030673B" w:rsidRDefault="0030673B" w:rsidP="0030673B">
      <w:pPr>
        <w:numPr>
          <w:ilvl w:val="0"/>
          <w:numId w:val="18"/>
        </w:numPr>
        <w:rPr>
          <w:lang w:val="en-US"/>
        </w:rPr>
      </w:pPr>
      <w:proofErr w:type="spellStart"/>
      <w:r w:rsidRPr="0030673B">
        <w:rPr>
          <w:lang w:val="en-US"/>
        </w:rPr>
        <w:t>Alahmari</w:t>
      </w:r>
      <w:proofErr w:type="spellEnd"/>
      <w:r w:rsidRPr="0030673B">
        <w:rPr>
          <w:lang w:val="en-US"/>
        </w:rPr>
        <w:t xml:space="preserve">, M., Abdullah </w:t>
      </w:r>
      <w:proofErr w:type="spellStart"/>
      <w:r w:rsidRPr="0030673B">
        <w:rPr>
          <w:lang w:val="en-US"/>
        </w:rPr>
        <w:t>Aljasser</w:t>
      </w:r>
      <w:proofErr w:type="spellEnd"/>
      <w:r w:rsidRPr="0030673B">
        <w:rPr>
          <w:lang w:val="en-US"/>
        </w:rPr>
        <w:t>, I., Sasidhar, B., &amp; Jimenez Palmero, A. (2021). Patient satisfaction and perception of quality of care in outpatient clinic in an eye specialist hospital in Saudi Arabia. Br J Econ Manage Trade, 10, 1-8.</w:t>
      </w:r>
    </w:p>
    <w:p w:rsidR="0030673B" w:rsidRPr="0030673B" w:rsidRDefault="0030673B" w:rsidP="0030673B">
      <w:pPr>
        <w:numPr>
          <w:ilvl w:val="0"/>
          <w:numId w:val="18"/>
        </w:numPr>
        <w:rPr>
          <w:lang w:val="en-US"/>
        </w:rPr>
      </w:pPr>
      <w:proofErr w:type="spellStart"/>
      <w:r w:rsidRPr="0030673B">
        <w:rPr>
          <w:lang w:val="en-US"/>
        </w:rPr>
        <w:t>Alanezi</w:t>
      </w:r>
      <w:proofErr w:type="spellEnd"/>
      <w:r w:rsidRPr="0030673B">
        <w:rPr>
          <w:lang w:val="en-US"/>
        </w:rPr>
        <w:t xml:space="preserve">, F. (2021). Factors affecting the adoption of e-health system in the Kingdom of Saudi Arabia. International Health, 13(5), 456-470. </w:t>
      </w:r>
    </w:p>
    <w:p w:rsidR="0030673B" w:rsidRPr="0030673B" w:rsidRDefault="0030673B" w:rsidP="0030673B">
      <w:pPr>
        <w:numPr>
          <w:ilvl w:val="0"/>
          <w:numId w:val="18"/>
        </w:numPr>
      </w:pPr>
      <w:r w:rsidRPr="0030673B">
        <w:t xml:space="preserve">Albarrak, A. I., Mohammed, R., </w:t>
      </w:r>
      <w:proofErr w:type="spellStart"/>
      <w:r w:rsidRPr="0030673B">
        <w:t>Almarshoud</w:t>
      </w:r>
      <w:proofErr w:type="spellEnd"/>
      <w:r w:rsidRPr="0030673B">
        <w:t xml:space="preserve">, N., </w:t>
      </w:r>
      <w:proofErr w:type="spellStart"/>
      <w:r w:rsidRPr="0030673B">
        <w:t>Almujalli</w:t>
      </w:r>
      <w:proofErr w:type="spellEnd"/>
      <w:r w:rsidRPr="0030673B">
        <w:t xml:space="preserve">, L., </w:t>
      </w:r>
      <w:proofErr w:type="spellStart"/>
      <w:r w:rsidRPr="0030673B">
        <w:t>Aljaeed</w:t>
      </w:r>
      <w:proofErr w:type="spellEnd"/>
      <w:r w:rsidRPr="0030673B">
        <w:t xml:space="preserve">, R., </w:t>
      </w:r>
      <w:proofErr w:type="spellStart"/>
      <w:r w:rsidRPr="0030673B">
        <w:t>Altuwaijiri</w:t>
      </w:r>
      <w:proofErr w:type="spellEnd"/>
      <w:r w:rsidRPr="0030673B">
        <w:t xml:space="preserve">, S., &amp; </w:t>
      </w:r>
      <w:proofErr w:type="spellStart"/>
      <w:r w:rsidRPr="0030673B">
        <w:t>Albohairy</w:t>
      </w:r>
      <w:proofErr w:type="spellEnd"/>
      <w:r w:rsidRPr="0030673B">
        <w:t xml:space="preserve">, T. (2021). Assessment of physician’s knowledge, perception and willingness of telemedicine in Riyadh region, Saudi Arabia. Journal of infection and public health, 14(1), 97-102. </w:t>
      </w:r>
      <w:proofErr w:type="spellStart"/>
      <w:r w:rsidRPr="0030673B">
        <w:t>doi</w:t>
      </w:r>
      <w:proofErr w:type="spellEnd"/>
      <w:r w:rsidRPr="0030673B">
        <w:t>: 10.1016/j.jiph.2019.04.006.</w:t>
      </w:r>
    </w:p>
    <w:p w:rsidR="0030673B" w:rsidRPr="0030673B" w:rsidRDefault="0030673B" w:rsidP="0030673B">
      <w:pPr>
        <w:numPr>
          <w:ilvl w:val="0"/>
          <w:numId w:val="18"/>
        </w:numPr>
      </w:pPr>
      <w:r w:rsidRPr="0030673B">
        <w:t>Aldosari, B. (2019). Rates, levels, and determinants of electronic health record system adoption: A study of hospitals in Riyadh, Saudi Arabia. </w:t>
      </w:r>
      <w:r w:rsidRPr="0030673B">
        <w:rPr>
          <w:i/>
          <w:iCs/>
        </w:rPr>
        <w:t>International journal of medical informatics</w:t>
      </w:r>
      <w:r w:rsidRPr="0030673B">
        <w:t>, </w:t>
      </w:r>
      <w:r w:rsidRPr="0030673B">
        <w:rPr>
          <w:i/>
          <w:iCs/>
        </w:rPr>
        <w:t>83</w:t>
      </w:r>
      <w:r w:rsidRPr="0030673B">
        <w:t>(5), 330-342.</w:t>
      </w:r>
    </w:p>
    <w:p w:rsidR="0030673B" w:rsidRPr="0030673B" w:rsidRDefault="0030673B" w:rsidP="0030673B">
      <w:pPr>
        <w:numPr>
          <w:ilvl w:val="0"/>
          <w:numId w:val="18"/>
        </w:numPr>
      </w:pPr>
      <w:r w:rsidRPr="0030673B">
        <w:t>Alghamdi, A. S., Aleissa, K. A., &amp; Al-</w:t>
      </w:r>
      <w:proofErr w:type="spellStart"/>
      <w:r w:rsidRPr="0030673B">
        <w:t>Hamarneh</w:t>
      </w:r>
      <w:proofErr w:type="spellEnd"/>
      <w:r w:rsidRPr="0030673B">
        <w:t xml:space="preserve">, I. F. (2019). Gamma radiation and indoor radon concentrations in the western and southwestern regions of Saudi Arabia. </w:t>
      </w:r>
      <w:proofErr w:type="spellStart"/>
      <w:r w:rsidRPr="0030673B">
        <w:t>Heliyon</w:t>
      </w:r>
      <w:proofErr w:type="spellEnd"/>
      <w:r w:rsidRPr="0030673B">
        <w:t>, 5(1), e01133.</w:t>
      </w:r>
    </w:p>
    <w:p w:rsidR="0030673B" w:rsidRPr="0030673B" w:rsidRDefault="0030673B" w:rsidP="0030673B">
      <w:pPr>
        <w:numPr>
          <w:ilvl w:val="0"/>
          <w:numId w:val="18"/>
        </w:numPr>
        <w:rPr>
          <w:lang w:val="en-US"/>
        </w:rPr>
      </w:pPr>
      <w:proofErr w:type="spellStart"/>
      <w:r w:rsidRPr="0030673B">
        <w:rPr>
          <w:lang w:val="en-US"/>
        </w:rPr>
        <w:t>Algudairi</w:t>
      </w:r>
      <w:proofErr w:type="spellEnd"/>
      <w:r w:rsidRPr="0030673B">
        <w:rPr>
          <w:lang w:val="en-US"/>
        </w:rPr>
        <w:t xml:space="preserve"> G, Al-Eisa ES, Alghadir AH, Iqbal ZA. Patient satisfaction with outpatient physical therapy in Saudi Arabia. BMC Health Services Research. 2018 Dec;18(1):1-8. </w:t>
      </w:r>
    </w:p>
    <w:p w:rsidR="0030673B" w:rsidRPr="0030673B" w:rsidRDefault="0030673B" w:rsidP="0030673B">
      <w:pPr>
        <w:numPr>
          <w:ilvl w:val="0"/>
          <w:numId w:val="18"/>
        </w:numPr>
        <w:rPr>
          <w:lang w:val="en-US"/>
        </w:rPr>
      </w:pPr>
      <w:proofErr w:type="spellStart"/>
      <w:r w:rsidRPr="0030673B">
        <w:rPr>
          <w:lang w:val="en-US"/>
        </w:rPr>
        <w:t>Alhalal</w:t>
      </w:r>
      <w:proofErr w:type="spellEnd"/>
      <w:r w:rsidRPr="0030673B">
        <w:rPr>
          <w:lang w:val="en-US"/>
        </w:rPr>
        <w:t xml:space="preserve">, E., </w:t>
      </w:r>
      <w:proofErr w:type="spellStart"/>
      <w:r w:rsidRPr="0030673B">
        <w:rPr>
          <w:lang w:val="en-US"/>
        </w:rPr>
        <w:t>Alrashidi</w:t>
      </w:r>
      <w:proofErr w:type="spellEnd"/>
      <w:r w:rsidRPr="0030673B">
        <w:rPr>
          <w:lang w:val="en-US"/>
        </w:rPr>
        <w:t xml:space="preserve">, L. M., &amp; Alanazi, A. N. (2020). Predictors of patient‐centered care provision among nurses in acute care setting. Journal of nursing management, 28(6), 1400-1409. </w:t>
      </w:r>
    </w:p>
    <w:p w:rsidR="0030673B" w:rsidRPr="0030673B" w:rsidRDefault="0030673B" w:rsidP="0030673B">
      <w:pPr>
        <w:numPr>
          <w:ilvl w:val="0"/>
          <w:numId w:val="18"/>
        </w:numPr>
        <w:rPr>
          <w:lang w:val="en-US"/>
        </w:rPr>
      </w:pPr>
      <w:r w:rsidRPr="0030673B">
        <w:rPr>
          <w:lang w:val="en-US"/>
        </w:rPr>
        <w:t>Al-</w:t>
      </w:r>
      <w:proofErr w:type="spellStart"/>
      <w:r w:rsidRPr="0030673B">
        <w:rPr>
          <w:lang w:val="en-US"/>
        </w:rPr>
        <w:t>Harajin</w:t>
      </w:r>
      <w:proofErr w:type="spellEnd"/>
      <w:r w:rsidRPr="0030673B">
        <w:rPr>
          <w:lang w:val="en-US"/>
        </w:rPr>
        <w:t xml:space="preserve"> RS, Al-Subaie SA, </w:t>
      </w:r>
      <w:proofErr w:type="spellStart"/>
      <w:r w:rsidRPr="0030673B">
        <w:rPr>
          <w:lang w:val="en-US"/>
        </w:rPr>
        <w:t>Elzubair</w:t>
      </w:r>
      <w:proofErr w:type="spellEnd"/>
      <w:r w:rsidRPr="0030673B">
        <w:rPr>
          <w:lang w:val="en-US"/>
        </w:rPr>
        <w:t xml:space="preserve"> AG. The association between waiting time and patient satisfaction in outpatient clinics: Findings from a tertiary care hospital in Saudi Arabia. Journal of family &amp; community medicine. 2019 Jan;26(1):17. </w:t>
      </w:r>
    </w:p>
    <w:p w:rsidR="0030673B" w:rsidRPr="0030673B" w:rsidRDefault="0030673B" w:rsidP="0030673B">
      <w:pPr>
        <w:numPr>
          <w:ilvl w:val="0"/>
          <w:numId w:val="18"/>
        </w:numPr>
        <w:rPr>
          <w:lang w:val="en-US"/>
        </w:rPr>
      </w:pPr>
      <w:r w:rsidRPr="0030673B">
        <w:rPr>
          <w:lang w:val="en-US"/>
        </w:rPr>
        <w:t xml:space="preserve">Alharbi, M. A. (2018). The status quo of health information technology and health information management efficiency in Saudi Arabia: a narrative review. Int J Health Res </w:t>
      </w:r>
      <w:proofErr w:type="spellStart"/>
      <w:r w:rsidRPr="0030673B">
        <w:rPr>
          <w:lang w:val="en-US"/>
        </w:rPr>
        <w:t>Innov</w:t>
      </w:r>
      <w:proofErr w:type="spellEnd"/>
      <w:r w:rsidRPr="0030673B">
        <w:rPr>
          <w:lang w:val="en-US"/>
        </w:rPr>
        <w:t>, 6(1), 11-23.</w:t>
      </w:r>
    </w:p>
    <w:p w:rsidR="0030673B" w:rsidRPr="0030673B" w:rsidRDefault="0030673B" w:rsidP="0030673B">
      <w:pPr>
        <w:numPr>
          <w:ilvl w:val="0"/>
          <w:numId w:val="18"/>
        </w:numPr>
        <w:rPr>
          <w:lang w:val="en-US"/>
        </w:rPr>
      </w:pPr>
      <w:proofErr w:type="spellStart"/>
      <w:r w:rsidRPr="0030673B">
        <w:rPr>
          <w:lang w:val="en-US"/>
        </w:rPr>
        <w:lastRenderedPageBreak/>
        <w:t>Aljuaid</w:t>
      </w:r>
      <w:proofErr w:type="spellEnd"/>
      <w:r w:rsidRPr="0030673B">
        <w:rPr>
          <w:lang w:val="en-US"/>
        </w:rPr>
        <w:t xml:space="preserve">, M., Mannan, F., Chaudhry, Z., </w:t>
      </w:r>
      <w:proofErr w:type="spellStart"/>
      <w:r w:rsidRPr="0030673B">
        <w:rPr>
          <w:lang w:val="en-US"/>
        </w:rPr>
        <w:t>Rawaf</w:t>
      </w:r>
      <w:proofErr w:type="spellEnd"/>
      <w:r w:rsidRPr="0030673B">
        <w:rPr>
          <w:lang w:val="en-US"/>
        </w:rPr>
        <w:t xml:space="preserve">, S., &amp; Majeed, A. (2020). Quality of care in university hospitals in Saudi Arabia: a systematic review. BMJ open, 6(2), e008988. </w:t>
      </w:r>
      <w:hyperlink r:id="rId38" w:history="1">
        <w:r w:rsidRPr="0030673B">
          <w:rPr>
            <w:rStyle w:val="Hyperlink"/>
            <w:lang w:val="en-US"/>
          </w:rPr>
          <w:t>http://dx.doi.org/10.1136/bmjopen-2015-008988</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Alkadi, K., &amp; </w:t>
      </w:r>
      <w:proofErr w:type="spellStart"/>
      <w:r w:rsidRPr="0030673B">
        <w:rPr>
          <w:lang w:val="en-US"/>
        </w:rPr>
        <w:t>Roudsari</w:t>
      </w:r>
      <w:proofErr w:type="spellEnd"/>
      <w:r w:rsidRPr="0030673B">
        <w:rPr>
          <w:lang w:val="en-US"/>
        </w:rPr>
        <w:t xml:space="preserve">, A. (2022). </w:t>
      </w:r>
      <w:proofErr w:type="spellStart"/>
      <w:r w:rsidRPr="0030673B">
        <w:rPr>
          <w:lang w:val="en-US"/>
        </w:rPr>
        <w:t>TeMaD</w:t>
      </w:r>
      <w:proofErr w:type="spellEnd"/>
      <w:r w:rsidRPr="0030673B">
        <w:rPr>
          <w:lang w:val="en-US"/>
        </w:rPr>
        <w:t xml:space="preserve"> system: telecare for managing diabetes in Saudi Arabia. </w:t>
      </w:r>
      <w:r w:rsidRPr="0030673B">
        <w:rPr>
          <w:i/>
          <w:iCs/>
          <w:lang w:val="en-US"/>
        </w:rPr>
        <w:t>Studies in health technology and informatics</w:t>
      </w:r>
      <w:r w:rsidRPr="0030673B">
        <w:rPr>
          <w:lang w:val="en-US"/>
        </w:rPr>
        <w:t>, </w:t>
      </w:r>
      <w:r w:rsidRPr="0030673B">
        <w:rPr>
          <w:i/>
          <w:iCs/>
          <w:lang w:val="en-US"/>
        </w:rPr>
        <w:t>183</w:t>
      </w:r>
      <w:r w:rsidRPr="0030673B">
        <w:rPr>
          <w:lang w:val="en-US"/>
        </w:rPr>
        <w:t>, 57–62.</w:t>
      </w:r>
    </w:p>
    <w:p w:rsidR="0030673B" w:rsidRPr="0030673B" w:rsidRDefault="0030673B" w:rsidP="0030673B">
      <w:pPr>
        <w:numPr>
          <w:ilvl w:val="0"/>
          <w:numId w:val="18"/>
        </w:numPr>
        <w:rPr>
          <w:lang w:val="en-US"/>
        </w:rPr>
      </w:pPr>
      <w:proofErr w:type="spellStart"/>
      <w:r w:rsidRPr="0030673B">
        <w:rPr>
          <w:lang w:val="en-US"/>
        </w:rPr>
        <w:t>Almaiman</w:t>
      </w:r>
      <w:proofErr w:type="spellEnd"/>
      <w:r w:rsidRPr="0030673B">
        <w:rPr>
          <w:lang w:val="en-US"/>
        </w:rPr>
        <w:t xml:space="preserve"> A, </w:t>
      </w:r>
      <w:proofErr w:type="spellStart"/>
      <w:r w:rsidRPr="0030673B">
        <w:rPr>
          <w:lang w:val="en-US"/>
        </w:rPr>
        <w:t>Bahkali</w:t>
      </w:r>
      <w:proofErr w:type="spellEnd"/>
      <w:r w:rsidRPr="0030673B">
        <w:rPr>
          <w:lang w:val="en-US"/>
        </w:rPr>
        <w:t xml:space="preserve"> S, </w:t>
      </w:r>
      <w:proofErr w:type="spellStart"/>
      <w:r w:rsidRPr="0030673B">
        <w:rPr>
          <w:lang w:val="en-US"/>
        </w:rPr>
        <w:t>Alfrih</w:t>
      </w:r>
      <w:proofErr w:type="spellEnd"/>
      <w:r w:rsidRPr="0030673B">
        <w:rPr>
          <w:lang w:val="en-US"/>
        </w:rPr>
        <w:t xml:space="preserve"> S, </w:t>
      </w:r>
      <w:proofErr w:type="spellStart"/>
      <w:r w:rsidRPr="0030673B">
        <w:rPr>
          <w:lang w:val="en-US"/>
        </w:rPr>
        <w:t>Househ</w:t>
      </w:r>
      <w:proofErr w:type="spellEnd"/>
      <w:r w:rsidRPr="0030673B">
        <w:rPr>
          <w:lang w:val="en-US"/>
        </w:rPr>
        <w:t xml:space="preserve"> MS, and El Metwally A (2019). The use of health information technology in Saudi primary healthcare centers. In: Mantas J, </w:t>
      </w:r>
      <w:proofErr w:type="spellStart"/>
      <w:r w:rsidRPr="0030673B">
        <w:rPr>
          <w:lang w:val="en-US"/>
        </w:rPr>
        <w:t>Househ</w:t>
      </w:r>
      <w:proofErr w:type="spellEnd"/>
      <w:r w:rsidRPr="0030673B">
        <w:rPr>
          <w:lang w:val="en-US"/>
        </w:rPr>
        <w:t xml:space="preserve"> MS, and Hasman A (Eds.), Integrating information technology and management for quality of care: 209-212. IOS Press, Amsterdam, Netherlands.</w:t>
      </w:r>
    </w:p>
    <w:p w:rsidR="0030673B" w:rsidRPr="0030673B" w:rsidRDefault="0030673B" w:rsidP="0030673B">
      <w:pPr>
        <w:numPr>
          <w:ilvl w:val="0"/>
          <w:numId w:val="18"/>
        </w:numPr>
        <w:rPr>
          <w:lang w:val="en-US"/>
        </w:rPr>
      </w:pPr>
      <w:proofErr w:type="spellStart"/>
      <w:r w:rsidRPr="0030673B">
        <w:rPr>
          <w:lang w:val="en-US"/>
        </w:rPr>
        <w:t>Alnemer</w:t>
      </w:r>
      <w:proofErr w:type="spellEnd"/>
      <w:r w:rsidRPr="0030673B">
        <w:rPr>
          <w:lang w:val="en-US"/>
        </w:rPr>
        <w:t>, K. A., Al-</w:t>
      </w:r>
      <w:proofErr w:type="spellStart"/>
      <w:r w:rsidRPr="0030673B">
        <w:rPr>
          <w:lang w:val="en-US"/>
        </w:rPr>
        <w:t>Homood</w:t>
      </w:r>
      <w:proofErr w:type="spellEnd"/>
      <w:r w:rsidRPr="0030673B">
        <w:rPr>
          <w:lang w:val="en-US"/>
        </w:rPr>
        <w:t xml:space="preserve">, I. A., </w:t>
      </w:r>
      <w:proofErr w:type="spellStart"/>
      <w:r w:rsidRPr="0030673B">
        <w:rPr>
          <w:lang w:val="en-US"/>
        </w:rPr>
        <w:t>AlNemer</w:t>
      </w:r>
      <w:proofErr w:type="spellEnd"/>
      <w:r w:rsidRPr="0030673B">
        <w:rPr>
          <w:lang w:val="en-US"/>
        </w:rPr>
        <w:t xml:space="preserve">, A. A., Alshaikh, O. M., </w:t>
      </w:r>
      <w:proofErr w:type="spellStart"/>
      <w:r w:rsidRPr="0030673B">
        <w:rPr>
          <w:lang w:val="en-US"/>
        </w:rPr>
        <w:t>Alsaidan</w:t>
      </w:r>
      <w:proofErr w:type="spellEnd"/>
      <w:r w:rsidRPr="0030673B">
        <w:rPr>
          <w:lang w:val="en-US"/>
        </w:rPr>
        <w:t xml:space="preserve">, M. A., &amp; Alzahrani, A. T. (2020). A multicenter study of factors affecting patient’s satisfaction visiting primary health care clinics in Riyadh, Saudi Arabia. Fam Med </w:t>
      </w:r>
      <w:proofErr w:type="spellStart"/>
      <w:r w:rsidRPr="0030673B">
        <w:rPr>
          <w:lang w:val="en-US"/>
        </w:rPr>
        <w:t>Med</w:t>
      </w:r>
      <w:proofErr w:type="spellEnd"/>
      <w:r w:rsidRPr="0030673B">
        <w:rPr>
          <w:lang w:val="en-US"/>
        </w:rPr>
        <w:t xml:space="preserve"> Sci Res, 4(169), 1-4.</w:t>
      </w:r>
    </w:p>
    <w:p w:rsidR="0030673B" w:rsidRPr="0030673B" w:rsidRDefault="0030673B" w:rsidP="0030673B">
      <w:pPr>
        <w:numPr>
          <w:ilvl w:val="0"/>
          <w:numId w:val="18"/>
        </w:numPr>
        <w:rPr>
          <w:lang w:val="en-US"/>
        </w:rPr>
      </w:pPr>
      <w:r w:rsidRPr="0030673B">
        <w:rPr>
          <w:lang w:val="en-US"/>
        </w:rPr>
        <w:t xml:space="preserve">Alotaibi NH, </w:t>
      </w:r>
      <w:proofErr w:type="spellStart"/>
      <w:r w:rsidRPr="0030673B">
        <w:rPr>
          <w:lang w:val="en-US"/>
        </w:rPr>
        <w:t>Alzarea</w:t>
      </w:r>
      <w:proofErr w:type="spellEnd"/>
      <w:r w:rsidRPr="0030673B">
        <w:rPr>
          <w:lang w:val="en-US"/>
        </w:rPr>
        <w:t xml:space="preserve"> AI, Alotaibi AM, Khan YH, </w:t>
      </w:r>
      <w:proofErr w:type="spellStart"/>
      <w:r w:rsidRPr="0030673B">
        <w:rPr>
          <w:lang w:val="en-US"/>
        </w:rPr>
        <w:t>Mallhi</w:t>
      </w:r>
      <w:proofErr w:type="spellEnd"/>
      <w:r w:rsidRPr="0030673B">
        <w:rPr>
          <w:lang w:val="en-US"/>
        </w:rPr>
        <w:t xml:space="preserve"> TH, Alharbi KS, </w:t>
      </w:r>
      <w:proofErr w:type="spellStart"/>
      <w:r w:rsidRPr="0030673B">
        <w:rPr>
          <w:lang w:val="en-US"/>
        </w:rPr>
        <w:t>Alruwaili</w:t>
      </w:r>
      <w:proofErr w:type="spellEnd"/>
      <w:r w:rsidRPr="0030673B">
        <w:rPr>
          <w:lang w:val="en-US"/>
        </w:rPr>
        <w:t xml:space="preserve"> NK, Alanazi AS, Hassan A, </w:t>
      </w:r>
      <w:proofErr w:type="spellStart"/>
      <w:r w:rsidRPr="0030673B">
        <w:rPr>
          <w:lang w:val="en-US"/>
        </w:rPr>
        <w:t>Alotaib</w:t>
      </w:r>
      <w:proofErr w:type="spellEnd"/>
      <w:r w:rsidRPr="0030673B">
        <w:rPr>
          <w:lang w:val="en-US"/>
        </w:rPr>
        <w:t xml:space="preserve"> BS. Exploring satisfaction level among outpatients regarding pharmacy facilities and services in the Kingdom of Saudi Arabia; a large regional analysis. </w:t>
      </w:r>
      <w:proofErr w:type="spellStart"/>
      <w:r w:rsidRPr="0030673B">
        <w:rPr>
          <w:lang w:val="en-US"/>
        </w:rPr>
        <w:t>PloS</w:t>
      </w:r>
      <w:proofErr w:type="spellEnd"/>
      <w:r w:rsidRPr="0030673B">
        <w:rPr>
          <w:lang w:val="en-US"/>
        </w:rPr>
        <w:t xml:space="preserve"> one. 2021 Apr 1;16(4): e0247912. </w:t>
      </w:r>
    </w:p>
    <w:p w:rsidR="0030673B" w:rsidRPr="0030673B" w:rsidRDefault="0030673B" w:rsidP="0030673B">
      <w:pPr>
        <w:numPr>
          <w:ilvl w:val="0"/>
          <w:numId w:val="18"/>
        </w:numPr>
        <w:rPr>
          <w:lang w:val="en-US"/>
        </w:rPr>
      </w:pPr>
      <w:r w:rsidRPr="0030673B">
        <w:rPr>
          <w:lang w:val="en-US"/>
        </w:rPr>
        <w:t>Alqahtani, A., Crowder, R., &amp; Wills, G. (2018). Barriers to the adoption of EHR systems in the Kingdom of Saudi Arabia: an exploratory study using a systematic literature review. Journal of Health Informatics in Developing Countries, 11(2).</w:t>
      </w:r>
    </w:p>
    <w:p w:rsidR="0030673B" w:rsidRPr="0030673B" w:rsidRDefault="0030673B" w:rsidP="0030673B">
      <w:pPr>
        <w:numPr>
          <w:ilvl w:val="0"/>
          <w:numId w:val="18"/>
        </w:numPr>
        <w:rPr>
          <w:lang w:val="en-US"/>
        </w:rPr>
      </w:pPr>
      <w:r w:rsidRPr="0030673B">
        <w:rPr>
          <w:lang w:val="en-US"/>
        </w:rPr>
        <w:t>Al-</w:t>
      </w:r>
      <w:proofErr w:type="spellStart"/>
      <w:r w:rsidRPr="0030673B">
        <w:rPr>
          <w:lang w:val="en-US"/>
        </w:rPr>
        <w:t>Qudah</w:t>
      </w:r>
      <w:proofErr w:type="spellEnd"/>
      <w:r w:rsidRPr="0030673B">
        <w:rPr>
          <w:lang w:val="en-US"/>
        </w:rPr>
        <w:t xml:space="preserve"> HS. Influence of health care services quality on resident </w:t>
      </w:r>
      <w:proofErr w:type="spellStart"/>
      <w:r w:rsidRPr="0030673B">
        <w:rPr>
          <w:lang w:val="en-US"/>
        </w:rPr>
        <w:t>patients'satisfaction</w:t>
      </w:r>
      <w:proofErr w:type="spellEnd"/>
      <w:r w:rsidRPr="0030673B">
        <w:rPr>
          <w:lang w:val="en-US"/>
        </w:rPr>
        <w:t xml:space="preserve"> </w:t>
      </w:r>
      <w:proofErr w:type="spellStart"/>
      <w:r w:rsidRPr="0030673B">
        <w:rPr>
          <w:lang w:val="en-US"/>
        </w:rPr>
        <w:t>during'covid</w:t>
      </w:r>
      <w:proofErr w:type="spellEnd"/>
      <w:r w:rsidRPr="0030673B">
        <w:rPr>
          <w:lang w:val="en-US"/>
        </w:rPr>
        <w:t xml:space="preserve"> 19'pandemic: case study of private hospitals in </w:t>
      </w:r>
      <w:proofErr w:type="spellStart"/>
      <w:r w:rsidRPr="0030673B">
        <w:rPr>
          <w:lang w:val="en-US"/>
        </w:rPr>
        <w:t>ksa</w:t>
      </w:r>
      <w:proofErr w:type="spellEnd"/>
      <w:r w:rsidRPr="0030673B">
        <w:rPr>
          <w:lang w:val="en-US"/>
        </w:rPr>
        <w:t xml:space="preserve">. Academy of entrepreneurship journal. 2022; 28:1-8. </w:t>
      </w:r>
    </w:p>
    <w:p w:rsidR="0030673B" w:rsidRPr="0030673B" w:rsidRDefault="0030673B" w:rsidP="0030673B">
      <w:pPr>
        <w:numPr>
          <w:ilvl w:val="0"/>
          <w:numId w:val="18"/>
        </w:numPr>
      </w:pPr>
      <w:proofErr w:type="spellStart"/>
      <w:r w:rsidRPr="0030673B">
        <w:t>Alrasheedi</w:t>
      </w:r>
      <w:proofErr w:type="spellEnd"/>
      <w:r w:rsidRPr="0030673B">
        <w:t>, K. F., Al-</w:t>
      </w:r>
      <w:proofErr w:type="spellStart"/>
      <w:r w:rsidRPr="0030673B">
        <w:t>Mohaithef</w:t>
      </w:r>
      <w:proofErr w:type="spellEnd"/>
      <w:r w:rsidRPr="0030673B">
        <w:t xml:space="preserve">, M., Edrees, H. H., &amp; Chandramohan, S. (2019). The association between wait times and patient satisfaction: findings from primary health </w:t>
      </w:r>
      <w:proofErr w:type="spellStart"/>
      <w:r w:rsidRPr="0030673B">
        <w:t>centers</w:t>
      </w:r>
      <w:proofErr w:type="spellEnd"/>
      <w:r w:rsidRPr="0030673B">
        <w:t xml:space="preserve"> in the Kingdom of Saudi Arabia. Health services research and managerial epidemiology, 6, 2333392819861246.</w:t>
      </w:r>
    </w:p>
    <w:p w:rsidR="0030673B" w:rsidRPr="0030673B" w:rsidRDefault="0030673B" w:rsidP="0030673B">
      <w:pPr>
        <w:numPr>
          <w:ilvl w:val="0"/>
          <w:numId w:val="18"/>
        </w:numPr>
        <w:rPr>
          <w:lang w:val="en-US"/>
        </w:rPr>
      </w:pPr>
      <w:r w:rsidRPr="0030673B">
        <w:rPr>
          <w:lang w:val="en-US"/>
        </w:rPr>
        <w:t xml:space="preserve">Al-Rayes SA, </w:t>
      </w:r>
      <w:proofErr w:type="spellStart"/>
      <w:r w:rsidRPr="0030673B">
        <w:rPr>
          <w:lang w:val="en-US"/>
        </w:rPr>
        <w:t>Alumran</w:t>
      </w:r>
      <w:proofErr w:type="spellEnd"/>
      <w:r w:rsidRPr="0030673B">
        <w:rPr>
          <w:lang w:val="en-US"/>
        </w:rPr>
        <w:t xml:space="preserve"> A, and </w:t>
      </w:r>
      <w:proofErr w:type="spellStart"/>
      <w:r w:rsidRPr="0030673B">
        <w:rPr>
          <w:lang w:val="en-US"/>
        </w:rPr>
        <w:t>AlFayez</w:t>
      </w:r>
      <w:proofErr w:type="spellEnd"/>
      <w:r w:rsidRPr="0030673B">
        <w:rPr>
          <w:lang w:val="en-US"/>
        </w:rPr>
        <w:t xml:space="preserve"> W (2019). The adoption of the electronic health record by physicians. Methods of Information in Medicine, 58(02/03): 063-070. </w:t>
      </w:r>
      <w:hyperlink r:id="rId39" w:history="1">
        <w:r w:rsidRPr="0030673B">
          <w:rPr>
            <w:rStyle w:val="Hyperlink"/>
            <w:lang w:val="en-US"/>
          </w:rPr>
          <w:t>https://doi.org/10.1055/s-0039-1695006</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Al-Sahli, B., </w:t>
      </w:r>
      <w:proofErr w:type="spellStart"/>
      <w:r w:rsidRPr="0030673B">
        <w:rPr>
          <w:lang w:val="en-US"/>
        </w:rPr>
        <w:t>Eldali</w:t>
      </w:r>
      <w:proofErr w:type="spellEnd"/>
      <w:r w:rsidRPr="0030673B">
        <w:rPr>
          <w:lang w:val="en-US"/>
        </w:rPr>
        <w:t xml:space="preserve">, A., </w:t>
      </w:r>
      <w:proofErr w:type="spellStart"/>
      <w:r w:rsidRPr="0030673B">
        <w:rPr>
          <w:lang w:val="en-US"/>
        </w:rPr>
        <w:t>Aljuaid</w:t>
      </w:r>
      <w:proofErr w:type="spellEnd"/>
      <w:r w:rsidRPr="0030673B">
        <w:rPr>
          <w:lang w:val="en-US"/>
        </w:rPr>
        <w:t xml:space="preserve">, M., &amp; Al-Surimi, K. (2021). Person-Centered Care in a Tertiary Hospital Through Patient’s Eyes: A Cross-Sectional Study. Patient preference and adherence, 15, 761. </w:t>
      </w:r>
      <w:hyperlink r:id="rId40" w:history="1">
        <w:r w:rsidRPr="0030673B">
          <w:rPr>
            <w:rStyle w:val="Hyperlink"/>
            <w:lang w:val="en-US"/>
          </w:rPr>
          <w:t>https://doi.org/10.2147%2FPPA.S286237</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Alsalman, D., </w:t>
      </w:r>
      <w:proofErr w:type="spellStart"/>
      <w:r w:rsidRPr="0030673B">
        <w:rPr>
          <w:lang w:val="en-US"/>
        </w:rPr>
        <w:t>Alumran</w:t>
      </w:r>
      <w:proofErr w:type="spellEnd"/>
      <w:r w:rsidRPr="0030673B">
        <w:rPr>
          <w:lang w:val="en-US"/>
        </w:rPr>
        <w:t xml:space="preserve">, A., </w:t>
      </w:r>
      <w:proofErr w:type="spellStart"/>
      <w:r w:rsidRPr="0030673B">
        <w:rPr>
          <w:lang w:val="en-US"/>
        </w:rPr>
        <w:t>Alrayes</w:t>
      </w:r>
      <w:proofErr w:type="spellEnd"/>
      <w:r w:rsidRPr="0030673B">
        <w:rPr>
          <w:lang w:val="en-US"/>
        </w:rPr>
        <w:t xml:space="preserve">, S., </w:t>
      </w:r>
      <w:proofErr w:type="spellStart"/>
      <w:r w:rsidRPr="0030673B">
        <w:rPr>
          <w:lang w:val="en-US"/>
        </w:rPr>
        <w:t>Althumairi</w:t>
      </w:r>
      <w:proofErr w:type="spellEnd"/>
      <w:r w:rsidRPr="0030673B">
        <w:rPr>
          <w:lang w:val="en-US"/>
        </w:rPr>
        <w:t xml:space="preserve">, A., </w:t>
      </w:r>
      <w:proofErr w:type="spellStart"/>
      <w:r w:rsidRPr="0030673B">
        <w:rPr>
          <w:lang w:val="en-US"/>
        </w:rPr>
        <w:t>Alrawiai</w:t>
      </w:r>
      <w:proofErr w:type="spellEnd"/>
      <w:r w:rsidRPr="0030673B">
        <w:rPr>
          <w:lang w:val="en-US"/>
        </w:rPr>
        <w:t xml:space="preserve">, S., </w:t>
      </w:r>
      <w:proofErr w:type="spellStart"/>
      <w:r w:rsidRPr="0030673B">
        <w:rPr>
          <w:lang w:val="en-US"/>
        </w:rPr>
        <w:t>Alakrawi</w:t>
      </w:r>
      <w:proofErr w:type="spellEnd"/>
      <w:r w:rsidRPr="0030673B">
        <w:rPr>
          <w:lang w:val="en-US"/>
        </w:rPr>
        <w:t xml:space="preserve">, Z., ... &amp; </w:t>
      </w:r>
      <w:proofErr w:type="spellStart"/>
      <w:r w:rsidRPr="0030673B">
        <w:rPr>
          <w:lang w:val="en-US"/>
        </w:rPr>
        <w:t>Alanzi</w:t>
      </w:r>
      <w:proofErr w:type="spellEnd"/>
      <w:r w:rsidRPr="0030673B">
        <w:rPr>
          <w:lang w:val="en-US"/>
        </w:rPr>
        <w:t xml:space="preserve">, T. (2021). Implementation status of health information systems in hospitals in the eastern province of </w:t>
      </w:r>
      <w:r w:rsidRPr="0030673B">
        <w:rPr>
          <w:lang w:val="en-US"/>
        </w:rPr>
        <w:lastRenderedPageBreak/>
        <w:t xml:space="preserve">Saudi Arabia. Informatics in Medicine Unlocked, 22, 100499. </w:t>
      </w:r>
      <w:hyperlink r:id="rId41" w:history="1">
        <w:r w:rsidRPr="0030673B">
          <w:rPr>
            <w:rStyle w:val="Hyperlink"/>
            <w:lang w:val="en-US"/>
          </w:rPr>
          <w:t>https://doi.org/10.1016/j.imu.2020.100499</w:t>
        </w:r>
      </w:hyperlink>
      <w:r w:rsidRPr="0030673B">
        <w:rPr>
          <w:lang w:val="en-US"/>
        </w:rPr>
        <w:t xml:space="preserve"> </w:t>
      </w:r>
    </w:p>
    <w:p w:rsidR="0030673B" w:rsidRPr="0030673B" w:rsidRDefault="0030673B" w:rsidP="0030673B">
      <w:pPr>
        <w:numPr>
          <w:ilvl w:val="0"/>
          <w:numId w:val="18"/>
        </w:numPr>
        <w:rPr>
          <w:lang w:val="en-US"/>
        </w:rPr>
      </w:pPr>
      <w:proofErr w:type="spellStart"/>
      <w:r w:rsidRPr="0030673B">
        <w:rPr>
          <w:lang w:val="en-US"/>
        </w:rPr>
        <w:t>Alsayali</w:t>
      </w:r>
      <w:proofErr w:type="spellEnd"/>
      <w:r w:rsidRPr="0030673B">
        <w:rPr>
          <w:lang w:val="en-US"/>
        </w:rPr>
        <w:t xml:space="preserve"> MM, Al-Sahafi A, </w:t>
      </w:r>
      <w:proofErr w:type="spellStart"/>
      <w:r w:rsidRPr="0030673B">
        <w:rPr>
          <w:lang w:val="en-US"/>
        </w:rPr>
        <w:t>Mandoura</w:t>
      </w:r>
      <w:proofErr w:type="spellEnd"/>
      <w:r w:rsidRPr="0030673B">
        <w:rPr>
          <w:lang w:val="en-US"/>
        </w:rPr>
        <w:t xml:space="preserve"> N, Shah HB, Rashid OA, AlSharif K, Zayed AH, Ibrahim A, Al-Zahrani A, Al-Garni F, Alali MM. Patients’ Satisfaction after Primary Health Care</w:t>
      </w:r>
    </w:p>
    <w:p w:rsidR="0030673B" w:rsidRPr="0030673B" w:rsidRDefault="0030673B" w:rsidP="0030673B">
      <w:pPr>
        <w:numPr>
          <w:ilvl w:val="0"/>
          <w:numId w:val="18"/>
        </w:numPr>
        <w:rPr>
          <w:lang w:val="en-US"/>
        </w:rPr>
      </w:pPr>
      <w:r w:rsidRPr="0030673B">
        <w:rPr>
          <w:lang w:val="en-US"/>
        </w:rPr>
        <w:t>Alshammari, M. H. (2021). Electronic health in Saudi Arabia: A review. International Journal of ADVANCED AND APPLIED SCIENCES, 8(6), 1–10. https://doi.org/10.21833/ijaas.2021.06.001</w:t>
      </w:r>
    </w:p>
    <w:p w:rsidR="0030673B" w:rsidRPr="0030673B" w:rsidRDefault="0030673B" w:rsidP="0030673B">
      <w:pPr>
        <w:numPr>
          <w:ilvl w:val="0"/>
          <w:numId w:val="18"/>
        </w:numPr>
        <w:rPr>
          <w:lang w:val="en-US"/>
        </w:rPr>
      </w:pPr>
      <w:proofErr w:type="spellStart"/>
      <w:r w:rsidRPr="0030673B">
        <w:rPr>
          <w:lang w:val="en-US"/>
        </w:rPr>
        <w:t>Altuntas</w:t>
      </w:r>
      <w:proofErr w:type="spellEnd"/>
      <w:r w:rsidRPr="0030673B">
        <w:rPr>
          <w:lang w:val="en-US"/>
        </w:rPr>
        <w:t>, S., Dereli, T., &amp; Kaya, İ. (2020). Monitoring patient dissatisfaction: a methodology based on SERVQUAL scale and statistical process control charts. Total Quality Management &amp; Business Excellence, 31(9-10), 978-1008. https://doi.org/10.1080/14783363.2018.1457434</w:t>
      </w:r>
    </w:p>
    <w:p w:rsidR="0030673B" w:rsidRPr="0030673B" w:rsidRDefault="0030673B" w:rsidP="0030673B">
      <w:pPr>
        <w:numPr>
          <w:ilvl w:val="0"/>
          <w:numId w:val="18"/>
        </w:numPr>
        <w:rPr>
          <w:lang w:val="en-US"/>
        </w:rPr>
      </w:pPr>
      <w:proofErr w:type="spellStart"/>
      <w:r w:rsidRPr="0030673B">
        <w:rPr>
          <w:lang w:val="en-US"/>
        </w:rPr>
        <w:t>Altuwaijri</w:t>
      </w:r>
      <w:proofErr w:type="spellEnd"/>
      <w:r w:rsidRPr="0030673B">
        <w:rPr>
          <w:lang w:val="en-US"/>
        </w:rPr>
        <w:t xml:space="preserve"> MM (2020). Supporting the Saudi e-health initiative: The Master of Health Informatics </w:t>
      </w:r>
      <w:proofErr w:type="spellStart"/>
      <w:r w:rsidRPr="0030673B">
        <w:rPr>
          <w:lang w:val="en-US"/>
        </w:rPr>
        <w:t>programme</w:t>
      </w:r>
      <w:proofErr w:type="spellEnd"/>
      <w:r w:rsidRPr="0030673B">
        <w:rPr>
          <w:lang w:val="en-US"/>
        </w:rPr>
        <w:t xml:space="preserve"> at KSAU-HS. EMHJ-Eastern Mediterranean Health Journal, 16(1): 119-124. https://doi.org/10.26719/2010.16.1.119</w:t>
      </w:r>
    </w:p>
    <w:p w:rsidR="0030673B" w:rsidRPr="0030673B" w:rsidRDefault="0030673B" w:rsidP="0030673B">
      <w:pPr>
        <w:numPr>
          <w:ilvl w:val="0"/>
          <w:numId w:val="18"/>
        </w:numPr>
      </w:pPr>
      <w:proofErr w:type="spellStart"/>
      <w:r w:rsidRPr="0030673B">
        <w:t>Ambelie</w:t>
      </w:r>
      <w:proofErr w:type="spellEnd"/>
      <w:r w:rsidRPr="0030673B">
        <w:t xml:space="preserve">, Y. A., </w:t>
      </w:r>
      <w:proofErr w:type="spellStart"/>
      <w:r w:rsidRPr="0030673B">
        <w:t>Demssie</w:t>
      </w:r>
      <w:proofErr w:type="spellEnd"/>
      <w:r w:rsidRPr="0030673B">
        <w:t xml:space="preserve">, A. F., &amp; Gebregziabher, M. G. (2019). Patients’ satisfaction and associated factors among private wing patients at </w:t>
      </w:r>
      <w:proofErr w:type="spellStart"/>
      <w:r w:rsidRPr="0030673B">
        <w:t>Bahirdar</w:t>
      </w:r>
      <w:proofErr w:type="spellEnd"/>
      <w:r w:rsidRPr="0030673B">
        <w:t xml:space="preserve"> </w:t>
      </w:r>
      <w:proofErr w:type="spellStart"/>
      <w:r w:rsidRPr="0030673B">
        <w:t>Felege</w:t>
      </w:r>
      <w:proofErr w:type="spellEnd"/>
      <w:r w:rsidRPr="0030673B">
        <w:t xml:space="preserve"> Hiwot Referral Hospital, Northwest Ethiopia. Sci J Public Health, 2(5), 417-423.</w:t>
      </w:r>
    </w:p>
    <w:p w:rsidR="0030673B" w:rsidRPr="0030673B" w:rsidRDefault="0030673B" w:rsidP="0030673B">
      <w:pPr>
        <w:numPr>
          <w:ilvl w:val="0"/>
          <w:numId w:val="18"/>
        </w:numPr>
      </w:pPr>
      <w:r w:rsidRPr="0030673B">
        <w:t>Appiah, K. (2019). Patient satisfaction with waiting time at the outpatient department (OPD). Holy Family Hospital, Techiman, 10602625, 1-81.</w:t>
      </w:r>
    </w:p>
    <w:p w:rsidR="0030673B" w:rsidRPr="0030673B" w:rsidRDefault="0030673B" w:rsidP="0030673B">
      <w:pPr>
        <w:numPr>
          <w:ilvl w:val="0"/>
          <w:numId w:val="18"/>
        </w:numPr>
      </w:pPr>
      <w:r w:rsidRPr="0030673B">
        <w:t xml:space="preserve">Asres, A. W., </w:t>
      </w:r>
      <w:proofErr w:type="spellStart"/>
      <w:r w:rsidRPr="0030673B">
        <w:t>Hunegnaw</w:t>
      </w:r>
      <w:proofErr w:type="spellEnd"/>
      <w:r w:rsidRPr="0030673B">
        <w:t xml:space="preserve">, W. A., Ferede, A. G., &amp; </w:t>
      </w:r>
      <w:proofErr w:type="spellStart"/>
      <w:r w:rsidRPr="0030673B">
        <w:t>Denekew</w:t>
      </w:r>
      <w:proofErr w:type="spellEnd"/>
      <w:r w:rsidRPr="0030673B">
        <w:t xml:space="preserve">, H. T. (2020). Assessment of patient satisfaction and associated factors in an outpatient department at </w:t>
      </w:r>
      <w:proofErr w:type="spellStart"/>
      <w:r w:rsidRPr="0030673B">
        <w:t>Dangila</w:t>
      </w:r>
      <w:proofErr w:type="spellEnd"/>
      <w:r w:rsidRPr="0030673B">
        <w:t xml:space="preserve"> primary hospital, Awi zone, Northwest Ethiopia, 2018. Global Security: Health, Science and Policy, 5(1), 57-64.</w:t>
      </w:r>
    </w:p>
    <w:p w:rsidR="0030673B" w:rsidRPr="0030673B" w:rsidRDefault="0030673B" w:rsidP="0030673B">
      <w:pPr>
        <w:numPr>
          <w:ilvl w:val="0"/>
          <w:numId w:val="18"/>
        </w:numPr>
        <w:rPr>
          <w:lang w:val="en-US"/>
        </w:rPr>
      </w:pPr>
      <w:r w:rsidRPr="0030673B">
        <w:rPr>
          <w:lang w:val="en-US"/>
        </w:rPr>
        <w:t xml:space="preserve">Baer B, Bhushan A, Taleb HA, Vasquez J, Thomas R. The right to health of older people. The Gerontologist. 2018 Apr 1;56(Suppl_2): S206-17. </w:t>
      </w:r>
    </w:p>
    <w:p w:rsidR="0030673B" w:rsidRPr="0030673B" w:rsidRDefault="0030673B" w:rsidP="0030673B">
      <w:pPr>
        <w:numPr>
          <w:ilvl w:val="0"/>
          <w:numId w:val="18"/>
        </w:numPr>
        <w:rPr>
          <w:lang w:val="en-US"/>
        </w:rPr>
      </w:pPr>
      <w:r w:rsidRPr="0030673B">
        <w:rPr>
          <w:lang w:val="en-US"/>
        </w:rPr>
        <w:t>Bah, S., Alharthi, H., El Mahalli, A. A., Jabali, A., Al-Qahtani, M., &amp; Al-</w:t>
      </w:r>
      <w:proofErr w:type="spellStart"/>
      <w:r w:rsidRPr="0030673B">
        <w:rPr>
          <w:lang w:val="en-US"/>
        </w:rPr>
        <w:t>kahtani</w:t>
      </w:r>
      <w:proofErr w:type="spellEnd"/>
      <w:r w:rsidRPr="0030673B">
        <w:rPr>
          <w:lang w:val="en-US"/>
        </w:rPr>
        <w:t>, N. (2021). Annual survey on the level and extent of usage of electronic health records in government-related hospitals in Eastern Province, Saudi Arabia. </w:t>
      </w:r>
      <w:r w:rsidRPr="0030673B">
        <w:rPr>
          <w:i/>
          <w:iCs/>
          <w:lang w:val="en-US"/>
        </w:rPr>
        <w:t>Perspectives in health information management</w:t>
      </w:r>
      <w:r w:rsidRPr="0030673B">
        <w:rPr>
          <w:lang w:val="en-US"/>
        </w:rPr>
        <w:t>, </w:t>
      </w:r>
      <w:r w:rsidRPr="0030673B">
        <w:rPr>
          <w:i/>
          <w:iCs/>
          <w:lang w:val="en-US"/>
        </w:rPr>
        <w:t>8</w:t>
      </w:r>
      <w:r w:rsidRPr="0030673B">
        <w:rPr>
          <w:lang w:val="en-US"/>
        </w:rPr>
        <w:t>(Fall), 1b.</w:t>
      </w:r>
    </w:p>
    <w:p w:rsidR="0030673B" w:rsidRPr="0030673B" w:rsidRDefault="0030673B" w:rsidP="0030673B">
      <w:pPr>
        <w:numPr>
          <w:ilvl w:val="0"/>
          <w:numId w:val="18"/>
        </w:numPr>
        <w:rPr>
          <w:lang w:val="en-US"/>
        </w:rPr>
      </w:pPr>
      <w:r w:rsidRPr="0030673B">
        <w:rPr>
          <w:lang w:val="en-US"/>
        </w:rPr>
        <w:t xml:space="preserve">Barakah, D. M., </w:t>
      </w:r>
      <w:proofErr w:type="spellStart"/>
      <w:r w:rsidRPr="0030673B">
        <w:rPr>
          <w:lang w:val="en-US"/>
        </w:rPr>
        <w:t>Alrobia</w:t>
      </w:r>
      <w:proofErr w:type="spellEnd"/>
      <w:r w:rsidRPr="0030673B">
        <w:rPr>
          <w:lang w:val="en-US"/>
        </w:rPr>
        <w:t xml:space="preserve">, A. M., &amp; </w:t>
      </w:r>
      <w:proofErr w:type="spellStart"/>
      <w:r w:rsidRPr="0030673B">
        <w:rPr>
          <w:lang w:val="en-US"/>
        </w:rPr>
        <w:t>Alwakeel</w:t>
      </w:r>
      <w:proofErr w:type="spellEnd"/>
      <w:r w:rsidRPr="0030673B">
        <w:rPr>
          <w:lang w:val="en-US"/>
        </w:rPr>
        <w:t>, S. (2018). Strategic plan and development projects for modern health clinical information systems at King Saud Medical City. International Journal of Information and Electronics Engineering, 4(4), 317.</w:t>
      </w:r>
    </w:p>
    <w:p w:rsidR="0030673B" w:rsidRPr="0030673B" w:rsidRDefault="0030673B" w:rsidP="0030673B">
      <w:pPr>
        <w:numPr>
          <w:ilvl w:val="0"/>
          <w:numId w:val="18"/>
        </w:numPr>
        <w:rPr>
          <w:lang w:val="en-US"/>
        </w:rPr>
      </w:pPr>
      <w:r w:rsidRPr="0030673B">
        <w:rPr>
          <w:lang w:val="en-US"/>
        </w:rPr>
        <w:t>Barnett, S. F., Alagar, R. K., Grocott, M. P., Giannaris, S., Dick, J. R., &amp; Moonesinghe, S. R. (2023). Patient-satisfaction measures in anesthesia: qualitative systematic review. Anesthesiology, 119(2), 452-478.</w:t>
      </w:r>
    </w:p>
    <w:p w:rsidR="0030673B" w:rsidRPr="0030673B" w:rsidRDefault="0030673B" w:rsidP="0030673B">
      <w:pPr>
        <w:numPr>
          <w:ilvl w:val="0"/>
          <w:numId w:val="18"/>
        </w:numPr>
        <w:rPr>
          <w:lang w:val="en-US"/>
        </w:rPr>
      </w:pPr>
      <w:r w:rsidRPr="0030673B">
        <w:rPr>
          <w:lang w:val="en-US"/>
        </w:rPr>
        <w:lastRenderedPageBreak/>
        <w:t xml:space="preserve">Bates, D. W., &amp; Bitton, A. (2019). The future of health information technology in the patient-centered medical home. Health affairs, 29(4), 614-621. </w:t>
      </w:r>
      <w:hyperlink r:id="rId42" w:history="1">
        <w:r w:rsidRPr="0030673B">
          <w:rPr>
            <w:rStyle w:val="Hyperlink"/>
            <w:lang w:val="en-US"/>
          </w:rPr>
          <w:t>https://doi.org/10.1377/hlthaff.2010.0007</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Beattie, M., Lauder, W., Atherton, I., &amp; Murphy, D. J. (2018). Instruments to measure patient experience of health care quality in hospitals: a systematic review protocol. Systematic reviews, 3(1), 1-8.</w:t>
      </w:r>
    </w:p>
    <w:p w:rsidR="0030673B" w:rsidRPr="0030673B" w:rsidRDefault="0030673B" w:rsidP="0030673B">
      <w:pPr>
        <w:numPr>
          <w:ilvl w:val="0"/>
          <w:numId w:val="18"/>
        </w:numPr>
      </w:pPr>
      <w:r w:rsidRPr="0030673B">
        <w:t>Becker, P. T. (2020). Publishing pilot intervention studies. Research in nursing &amp; health, 31(1), 1-3.</w:t>
      </w:r>
    </w:p>
    <w:p w:rsidR="0030673B" w:rsidRPr="0030673B" w:rsidRDefault="0030673B" w:rsidP="0030673B">
      <w:pPr>
        <w:numPr>
          <w:ilvl w:val="0"/>
          <w:numId w:val="18"/>
        </w:numPr>
        <w:rPr>
          <w:lang w:val="en-US"/>
        </w:rPr>
      </w:pPr>
      <w:r w:rsidRPr="0030673B">
        <w:rPr>
          <w:lang w:val="en-US"/>
        </w:rPr>
        <w:t>Bell, J., Reynolds, L., Freeman, C., &amp; Jackson, J. K. (2020). Strategies to promote access to medications during the COVID-19 pandemic. Australian journal of general practice, 49(8), 530-532.</w:t>
      </w:r>
    </w:p>
    <w:p w:rsidR="0030673B" w:rsidRPr="0030673B" w:rsidRDefault="0030673B" w:rsidP="0030673B">
      <w:pPr>
        <w:numPr>
          <w:ilvl w:val="0"/>
          <w:numId w:val="18"/>
        </w:numPr>
        <w:rPr>
          <w:lang w:val="en-US"/>
        </w:rPr>
      </w:pPr>
      <w:r w:rsidRPr="0030673B">
        <w:rPr>
          <w:lang w:val="en-US"/>
        </w:rPr>
        <w:t>Bendall-Lyon, D., Powers, T. L., &amp; Swan, J. E. (2019). Time Does Not Heal All Wounds. Marketing health services, 21(3).</w:t>
      </w:r>
    </w:p>
    <w:p w:rsidR="0030673B" w:rsidRPr="0030673B" w:rsidRDefault="0030673B" w:rsidP="0030673B">
      <w:pPr>
        <w:numPr>
          <w:ilvl w:val="0"/>
          <w:numId w:val="18"/>
        </w:numPr>
        <w:rPr>
          <w:lang w:val="en-US"/>
        </w:rPr>
      </w:pPr>
      <w:r w:rsidRPr="0030673B">
        <w:rPr>
          <w:lang w:val="en-US"/>
        </w:rPr>
        <w:t>Berwick, D. M. (2021). What ‘patient-centered’ should mean: confessions of an extremist: A seasoned clinician and expert fears the loss of his humanity if he should become a patient. Health affairs, 28(Suppl1), w555-w565.</w:t>
      </w:r>
    </w:p>
    <w:p w:rsidR="0030673B" w:rsidRPr="0030673B" w:rsidRDefault="0030673B" w:rsidP="0030673B">
      <w:pPr>
        <w:numPr>
          <w:ilvl w:val="0"/>
          <w:numId w:val="18"/>
        </w:numPr>
      </w:pPr>
      <w:r w:rsidRPr="0030673B">
        <w:t>Bhardwaj, P. (2019). Types of sampling in research. Journal of the Practice of Cardiovascular Sciences, 5(3), 157.</w:t>
      </w:r>
    </w:p>
    <w:p w:rsidR="0030673B" w:rsidRPr="0030673B" w:rsidRDefault="0030673B" w:rsidP="0030673B">
      <w:pPr>
        <w:numPr>
          <w:ilvl w:val="0"/>
          <w:numId w:val="18"/>
        </w:numPr>
        <w:rPr>
          <w:lang w:val="en-US"/>
        </w:rPr>
      </w:pPr>
      <w:proofErr w:type="spellStart"/>
      <w:r w:rsidRPr="0030673B">
        <w:rPr>
          <w:lang w:val="en-US"/>
        </w:rPr>
        <w:t>Binsalih</w:t>
      </w:r>
      <w:proofErr w:type="spellEnd"/>
      <w:r w:rsidRPr="0030673B">
        <w:rPr>
          <w:lang w:val="en-US"/>
        </w:rPr>
        <w:t xml:space="preserve"> SA, </w:t>
      </w:r>
      <w:proofErr w:type="spellStart"/>
      <w:r w:rsidRPr="0030673B">
        <w:rPr>
          <w:lang w:val="en-US"/>
        </w:rPr>
        <w:t>Waness</w:t>
      </w:r>
      <w:proofErr w:type="spellEnd"/>
      <w:r w:rsidRPr="0030673B">
        <w:rPr>
          <w:lang w:val="en-US"/>
        </w:rPr>
        <w:t xml:space="preserve"> AO, Tamim HM, </w:t>
      </w:r>
      <w:proofErr w:type="spellStart"/>
      <w:r w:rsidRPr="0030673B">
        <w:rPr>
          <w:lang w:val="en-US"/>
        </w:rPr>
        <w:t>Harakati</w:t>
      </w:r>
      <w:proofErr w:type="spellEnd"/>
      <w:r w:rsidRPr="0030673B">
        <w:rPr>
          <w:lang w:val="en-US"/>
        </w:rPr>
        <w:t xml:space="preserve"> MS, Al Sayyari AA. Inpatients' care experience and satisfaction study. J Family Community Med. 2021 Sep;18(3):111-7. </w:t>
      </w:r>
      <w:proofErr w:type="spellStart"/>
      <w:r w:rsidRPr="0030673B">
        <w:rPr>
          <w:lang w:val="en-US"/>
        </w:rPr>
        <w:t>doi</w:t>
      </w:r>
      <w:proofErr w:type="spellEnd"/>
      <w:r w:rsidRPr="0030673B">
        <w:rPr>
          <w:lang w:val="en-US"/>
        </w:rPr>
        <w:t xml:space="preserve">: 10.4103/2230-8229.90009. PMID: 22175037; PMCID: PMC3237198. </w:t>
      </w:r>
    </w:p>
    <w:p w:rsidR="0030673B" w:rsidRPr="0030673B" w:rsidRDefault="0030673B" w:rsidP="0030673B">
      <w:pPr>
        <w:numPr>
          <w:ilvl w:val="0"/>
          <w:numId w:val="18"/>
        </w:numPr>
      </w:pPr>
      <w:r w:rsidRPr="0030673B">
        <w:t xml:space="preserve">Biya, M., </w:t>
      </w:r>
      <w:proofErr w:type="spellStart"/>
      <w:r w:rsidRPr="0030673B">
        <w:t>Gezahagn</w:t>
      </w:r>
      <w:proofErr w:type="spellEnd"/>
      <w:r w:rsidRPr="0030673B">
        <w:t xml:space="preserve">, M., Birhanu, B., </w:t>
      </w:r>
      <w:proofErr w:type="spellStart"/>
      <w:r w:rsidRPr="0030673B">
        <w:t>Yitbarek</w:t>
      </w:r>
      <w:proofErr w:type="spellEnd"/>
      <w:r w:rsidRPr="0030673B">
        <w:t>, K., Getachew, N., &amp; Beyene, W. (2022). Waiting time and its associated factors in patients presenting to outpatient departments at Public Hospitals of Jimma Zone, Southwest Ethiopia. BMC Health Services Research, 22(1), 1-8.</w:t>
      </w:r>
    </w:p>
    <w:p w:rsidR="0030673B" w:rsidRPr="0030673B" w:rsidRDefault="0030673B" w:rsidP="0030673B">
      <w:pPr>
        <w:numPr>
          <w:ilvl w:val="0"/>
          <w:numId w:val="18"/>
        </w:numPr>
        <w:rPr>
          <w:lang w:val="en-US"/>
        </w:rPr>
      </w:pPr>
      <w:proofErr w:type="spellStart"/>
      <w:r w:rsidRPr="0030673B">
        <w:rPr>
          <w:lang w:val="en-US"/>
        </w:rPr>
        <w:t>Bjertnaes</w:t>
      </w:r>
      <w:proofErr w:type="spellEnd"/>
      <w:r w:rsidRPr="0030673B">
        <w:rPr>
          <w:lang w:val="en-US"/>
        </w:rPr>
        <w:t xml:space="preserve">, O. A., </w:t>
      </w:r>
      <w:proofErr w:type="spellStart"/>
      <w:r w:rsidRPr="0030673B">
        <w:rPr>
          <w:lang w:val="en-US"/>
        </w:rPr>
        <w:t>Sjetne</w:t>
      </w:r>
      <w:proofErr w:type="spellEnd"/>
      <w:r w:rsidRPr="0030673B">
        <w:rPr>
          <w:lang w:val="en-US"/>
        </w:rPr>
        <w:t xml:space="preserve">, I. S., &amp; Iversen, H. H. Overall patient satisfaction with hospitals: effects of patient-reported experiences and fulfilment of expectations. BMJ quality &amp; safety, 21(1), 39-46. </w:t>
      </w:r>
    </w:p>
    <w:p w:rsidR="0030673B" w:rsidRPr="0030673B" w:rsidRDefault="0030673B" w:rsidP="0030673B">
      <w:pPr>
        <w:numPr>
          <w:ilvl w:val="0"/>
          <w:numId w:val="18"/>
        </w:numPr>
        <w:rPr>
          <w:lang w:val="en-US"/>
        </w:rPr>
      </w:pPr>
      <w:r w:rsidRPr="0030673B">
        <w:rPr>
          <w:lang w:val="en-US"/>
        </w:rPr>
        <w:t xml:space="preserve">Boyer, L., Francois, P., Doutre, E., Weil, G., &amp; </w:t>
      </w:r>
      <w:proofErr w:type="spellStart"/>
      <w:r w:rsidRPr="0030673B">
        <w:rPr>
          <w:lang w:val="en-US"/>
        </w:rPr>
        <w:t>Labarere</w:t>
      </w:r>
      <w:proofErr w:type="spellEnd"/>
      <w:r w:rsidRPr="0030673B">
        <w:rPr>
          <w:lang w:val="en-US"/>
        </w:rPr>
        <w:t>, J. (2020). Perception and use of the results of patient satisfaction surveys by care providers in a French teaching hospital. International journal for quality in health care: journal of the International Society for Quality in Health Care, 18(5), 359–364. https://doi.org/10.1093/intqhc/mzl029</w:t>
      </w:r>
    </w:p>
    <w:p w:rsidR="0030673B" w:rsidRPr="0030673B" w:rsidRDefault="0030673B" w:rsidP="0030673B">
      <w:pPr>
        <w:numPr>
          <w:ilvl w:val="0"/>
          <w:numId w:val="18"/>
        </w:numPr>
      </w:pPr>
      <w:r w:rsidRPr="0030673B">
        <w:t>Braun, V., &amp; Clarke, V. (2016). (Mis) conceptualising themes, thematic analysis, and other problems with Fugard and Potts’ sample-size tool for thematic analysis. International Journal of social research methodology, 19(6), 739-743.</w:t>
      </w:r>
    </w:p>
    <w:p w:rsidR="0030673B" w:rsidRPr="0030673B" w:rsidRDefault="0030673B" w:rsidP="0030673B">
      <w:pPr>
        <w:numPr>
          <w:ilvl w:val="0"/>
          <w:numId w:val="18"/>
        </w:numPr>
      </w:pPr>
      <w:r w:rsidRPr="0030673B">
        <w:t>Brown, R. S. (2019). Sampling (P. Peterson, E. Baker, &amp; B. B. T.-I. E. of E. (Third E. McGaw (eds.); pp. 142–146). Elsevier. https://doi.org/https://doi.org/10.1016/B978-0-08-044894-7.00294-3</w:t>
      </w:r>
    </w:p>
    <w:p w:rsidR="0030673B" w:rsidRPr="0030673B" w:rsidRDefault="0030673B" w:rsidP="0030673B">
      <w:pPr>
        <w:numPr>
          <w:ilvl w:val="0"/>
          <w:numId w:val="18"/>
        </w:numPr>
        <w:rPr>
          <w:lang w:val="en-US"/>
        </w:rPr>
      </w:pPr>
      <w:r w:rsidRPr="0030673B">
        <w:rPr>
          <w:lang w:val="en-US"/>
        </w:rPr>
        <w:lastRenderedPageBreak/>
        <w:t>Buntin, M. B., Burke, M. F., Hoaglin, M. C., &amp; Blumenthal, D. (2018). The benefits of health information technology: a review of the recent literature shows predominantly positive results. Health affairs, 30(3), 464-471.</w:t>
      </w:r>
    </w:p>
    <w:p w:rsidR="0030673B" w:rsidRPr="0030673B" w:rsidRDefault="0030673B" w:rsidP="0030673B">
      <w:pPr>
        <w:numPr>
          <w:ilvl w:val="0"/>
          <w:numId w:val="18"/>
        </w:numPr>
      </w:pPr>
      <w:r w:rsidRPr="0030673B">
        <w:t>Burmeister, E., &amp; Aitken, L. M. (2019). Sample size: How many is enough? Australian Critical Care, 25(4), 271-274.</w:t>
      </w:r>
    </w:p>
    <w:p w:rsidR="0030673B" w:rsidRPr="0030673B" w:rsidRDefault="0030673B" w:rsidP="0030673B">
      <w:pPr>
        <w:numPr>
          <w:ilvl w:val="0"/>
          <w:numId w:val="18"/>
        </w:numPr>
        <w:rPr>
          <w:lang w:val="en-US"/>
        </w:rPr>
      </w:pPr>
      <w:r w:rsidRPr="0030673B">
        <w:rPr>
          <w:lang w:val="en-US"/>
        </w:rPr>
        <w:t>Burroughs, T. E., Waterman, B. M., Cira, J. C., Desikan, R., &amp; Dunagan, W. C. Patient satisfaction measurement strategies: a comparison of phone and mail methods. The Joint Commission journal on quality improvement, 27(7), 349-361.</w:t>
      </w:r>
    </w:p>
    <w:p w:rsidR="0030673B" w:rsidRPr="0030673B" w:rsidRDefault="0030673B" w:rsidP="0030673B">
      <w:pPr>
        <w:numPr>
          <w:ilvl w:val="0"/>
          <w:numId w:val="18"/>
        </w:numPr>
        <w:rPr>
          <w:lang w:val="en-US"/>
        </w:rPr>
      </w:pPr>
      <w:proofErr w:type="spellStart"/>
      <w:r w:rsidRPr="0030673B">
        <w:rPr>
          <w:lang w:val="en-US"/>
        </w:rPr>
        <w:t>Caligtan</w:t>
      </w:r>
      <w:proofErr w:type="spellEnd"/>
      <w:r w:rsidRPr="0030673B">
        <w:rPr>
          <w:lang w:val="en-US"/>
        </w:rPr>
        <w:t xml:space="preserve">, C. A., Carroll, D. L., Hurley, A. C., Gersh-Zaremski, R., &amp; Dykes, P. C. (2020). Bedside information technology to support patient-centered care. International journal of medical informatics, 81(7), 442-451. </w:t>
      </w:r>
    </w:p>
    <w:p w:rsidR="0030673B" w:rsidRPr="0030673B" w:rsidRDefault="0030673B" w:rsidP="0030673B">
      <w:pPr>
        <w:numPr>
          <w:ilvl w:val="0"/>
          <w:numId w:val="18"/>
        </w:numPr>
        <w:rPr>
          <w:lang w:val="en-US"/>
        </w:rPr>
      </w:pPr>
      <w:r w:rsidRPr="0030673B">
        <w:rPr>
          <w:lang w:val="en-US"/>
        </w:rPr>
        <w:t xml:space="preserve">Cantiello, J., </w:t>
      </w:r>
      <w:proofErr w:type="spellStart"/>
      <w:r w:rsidRPr="0030673B">
        <w:rPr>
          <w:lang w:val="en-US"/>
        </w:rPr>
        <w:t>Kitsantas</w:t>
      </w:r>
      <w:proofErr w:type="spellEnd"/>
      <w:r w:rsidRPr="0030673B">
        <w:rPr>
          <w:lang w:val="en-US"/>
        </w:rPr>
        <w:t xml:space="preserve">, P., Moncada, S., &amp; Abdul, S. (2018). The evolution of quality improvement in healthcare: patient-centered care and health information technology applications. J Hosp Admin, 5(2), 62-8. </w:t>
      </w:r>
    </w:p>
    <w:p w:rsidR="0030673B" w:rsidRPr="0030673B" w:rsidRDefault="0030673B" w:rsidP="0030673B">
      <w:pPr>
        <w:numPr>
          <w:ilvl w:val="0"/>
          <w:numId w:val="18"/>
        </w:numPr>
      </w:pPr>
      <w:r w:rsidRPr="0030673B">
        <w:t xml:space="preserve">Carinci, F., Van Gool, K., Mainz, J., Veillard, J., </w:t>
      </w:r>
      <w:proofErr w:type="spellStart"/>
      <w:r w:rsidRPr="0030673B">
        <w:t>Pichora</w:t>
      </w:r>
      <w:proofErr w:type="spellEnd"/>
      <w:r w:rsidRPr="0030673B">
        <w:t>, E. C., Januel, J. M., ... &amp; Raleigh, V. (2015). Towards actionable international comparisons of health system performance: expert revision of the OECD framework and quality indicators. International Journal for Quality in Health Care, 27(2), 137-146.</w:t>
      </w:r>
    </w:p>
    <w:p w:rsidR="0030673B" w:rsidRPr="0030673B" w:rsidRDefault="0030673B" w:rsidP="0030673B">
      <w:pPr>
        <w:numPr>
          <w:ilvl w:val="0"/>
          <w:numId w:val="18"/>
        </w:numPr>
        <w:rPr>
          <w:lang w:val="en-US"/>
        </w:rPr>
      </w:pPr>
      <w:r w:rsidRPr="0030673B">
        <w:rPr>
          <w:lang w:val="en-US"/>
        </w:rPr>
        <w:t>Catalyst, N. E. J. M. (2018). Patient satisfaction surveys. NEJM Catalyst, 4(1).</w:t>
      </w:r>
    </w:p>
    <w:p w:rsidR="0030673B" w:rsidRPr="0030673B" w:rsidRDefault="0030673B" w:rsidP="0030673B">
      <w:pPr>
        <w:numPr>
          <w:ilvl w:val="0"/>
          <w:numId w:val="18"/>
        </w:numPr>
        <w:rPr>
          <w:lang w:val="en-US"/>
        </w:rPr>
      </w:pPr>
      <w:r w:rsidRPr="0030673B">
        <w:rPr>
          <w:lang w:val="en-US"/>
        </w:rPr>
        <w:t xml:space="preserve">Centers’ Integration with Ministry of Health Hospitals, Jeddah. Journal of Epidemiology and Global Health. 2019 Jun;9(2):135. </w:t>
      </w:r>
    </w:p>
    <w:p w:rsidR="0030673B" w:rsidRPr="0030673B" w:rsidRDefault="0030673B" w:rsidP="0030673B">
      <w:pPr>
        <w:numPr>
          <w:ilvl w:val="0"/>
          <w:numId w:val="18"/>
        </w:numPr>
        <w:rPr>
          <w:lang w:val="en-US"/>
        </w:rPr>
      </w:pPr>
      <w:r w:rsidRPr="0030673B">
        <w:rPr>
          <w:lang w:val="en-US"/>
        </w:rPr>
        <w:t>Clark, P. A. Medical practices' sensitivity to patients' needs: Opportunities and practices for improvement. The Journal of ambulatory care management, 26(2), 110-123.</w:t>
      </w:r>
    </w:p>
    <w:p w:rsidR="0030673B" w:rsidRPr="0030673B" w:rsidRDefault="0030673B" w:rsidP="0030673B">
      <w:pPr>
        <w:numPr>
          <w:ilvl w:val="0"/>
          <w:numId w:val="18"/>
        </w:numPr>
      </w:pPr>
      <w:r w:rsidRPr="0030673B">
        <w:t xml:space="preserve">Connelly, L. M. (2008). Pilot studies. </w:t>
      </w:r>
      <w:proofErr w:type="spellStart"/>
      <w:r w:rsidRPr="0030673B">
        <w:t>Medsurg</w:t>
      </w:r>
      <w:proofErr w:type="spellEnd"/>
      <w:r w:rsidRPr="0030673B">
        <w:t xml:space="preserve"> nursing, 17(6), 411.</w:t>
      </w:r>
    </w:p>
    <w:p w:rsidR="0030673B" w:rsidRPr="0030673B" w:rsidRDefault="0030673B" w:rsidP="0030673B">
      <w:pPr>
        <w:numPr>
          <w:ilvl w:val="0"/>
          <w:numId w:val="18"/>
        </w:numPr>
      </w:pPr>
      <w:r w:rsidRPr="0030673B">
        <w:t xml:space="preserve">Conway, J., Johnson, B., Edgman-Levitan, S., </w:t>
      </w:r>
      <w:proofErr w:type="spellStart"/>
      <w:r w:rsidRPr="0030673B">
        <w:t>Schlucter</w:t>
      </w:r>
      <w:proofErr w:type="spellEnd"/>
      <w:r w:rsidRPr="0030673B">
        <w:t>, J., Ford, D., Sodomka, P., &amp; Simmons, L. (2018). Partnering with patients and families to design a patient-and family-</w:t>
      </w:r>
      <w:proofErr w:type="spellStart"/>
      <w:r w:rsidRPr="0030673B">
        <w:t>centered</w:t>
      </w:r>
      <w:proofErr w:type="spellEnd"/>
      <w:r w:rsidRPr="0030673B">
        <w:t xml:space="preserve"> health care system: a roadmap for the future: a work in progress. Bethesda, MD: Institute for Family-</w:t>
      </w:r>
      <w:proofErr w:type="spellStart"/>
      <w:r w:rsidRPr="0030673B">
        <w:t>Centered</w:t>
      </w:r>
      <w:proofErr w:type="spellEnd"/>
      <w:r w:rsidRPr="0030673B">
        <w:t xml:space="preserve"> Care.</w:t>
      </w:r>
    </w:p>
    <w:p w:rsidR="0030673B" w:rsidRPr="0030673B" w:rsidRDefault="0030673B" w:rsidP="0030673B">
      <w:pPr>
        <w:numPr>
          <w:ilvl w:val="0"/>
          <w:numId w:val="18"/>
        </w:numPr>
        <w:rPr>
          <w:lang w:val="en-US"/>
        </w:rPr>
      </w:pPr>
      <w:r w:rsidRPr="0030673B">
        <w:rPr>
          <w:lang w:val="en-US"/>
        </w:rPr>
        <w:t>Coulter, A. (2018). Patient engagement—what works? The Journal of ambulatory care management, 35(2), 80-89.</w:t>
      </w:r>
    </w:p>
    <w:p w:rsidR="0030673B" w:rsidRPr="0030673B" w:rsidRDefault="0030673B" w:rsidP="0030673B">
      <w:pPr>
        <w:numPr>
          <w:ilvl w:val="0"/>
          <w:numId w:val="18"/>
        </w:numPr>
        <w:rPr>
          <w:lang w:val="en-US"/>
        </w:rPr>
      </w:pPr>
      <w:r w:rsidRPr="0030673B">
        <w:rPr>
          <w:lang w:val="en-US"/>
        </w:rPr>
        <w:t>Coulter, A., Fitzpatrick, R., &amp; Cornwell, J. (2019). Measures of patients' experience in hospital: purpose, methods and uses (pp. 7-9). London: King's Fund.</w:t>
      </w:r>
    </w:p>
    <w:p w:rsidR="0030673B" w:rsidRPr="0030673B" w:rsidRDefault="0030673B" w:rsidP="0030673B">
      <w:pPr>
        <w:numPr>
          <w:ilvl w:val="0"/>
          <w:numId w:val="18"/>
        </w:numPr>
      </w:pPr>
      <w:r w:rsidRPr="0030673B">
        <w:lastRenderedPageBreak/>
        <w:t>Cronin, C. (2004). Patient-</w:t>
      </w:r>
      <w:proofErr w:type="spellStart"/>
      <w:r w:rsidRPr="0030673B">
        <w:t>centered</w:t>
      </w:r>
      <w:proofErr w:type="spellEnd"/>
      <w:r w:rsidRPr="0030673B">
        <w:t xml:space="preserve"> care: an overview of definitions and concepts. Washington, DC: National Health Council.</w:t>
      </w:r>
    </w:p>
    <w:p w:rsidR="0030673B" w:rsidRPr="0030673B" w:rsidRDefault="0030673B" w:rsidP="0030673B">
      <w:pPr>
        <w:numPr>
          <w:ilvl w:val="0"/>
          <w:numId w:val="18"/>
        </w:numPr>
        <w:rPr>
          <w:lang w:val="en-US"/>
        </w:rPr>
      </w:pPr>
      <w:r w:rsidRPr="0030673B">
        <w:rPr>
          <w:lang w:val="en-US"/>
        </w:rPr>
        <w:t xml:space="preserve">Crow, H., Gage, H., Hampson, S., Hart, J., Kimber, A., </w:t>
      </w:r>
      <w:proofErr w:type="spellStart"/>
      <w:r w:rsidRPr="0030673B">
        <w:rPr>
          <w:lang w:val="en-US"/>
        </w:rPr>
        <w:t>Storey</w:t>
      </w:r>
      <w:proofErr w:type="spellEnd"/>
      <w:r w:rsidRPr="0030673B">
        <w:rPr>
          <w:lang w:val="en-US"/>
        </w:rPr>
        <w:t xml:space="preserve">, L., &amp; Thomas, H. (2020). Measurement of satisfaction with health care: Implications for practice from a systematic review of the literature. Health technology assessment, 6 (32). </w:t>
      </w:r>
    </w:p>
    <w:p w:rsidR="0030673B" w:rsidRPr="0030673B" w:rsidRDefault="0030673B" w:rsidP="0030673B">
      <w:pPr>
        <w:numPr>
          <w:ilvl w:val="0"/>
          <w:numId w:val="18"/>
        </w:numPr>
      </w:pPr>
      <w:r w:rsidRPr="0030673B">
        <w:t>Da Veiga, A. A cybersecurity culture research philosophy and approach to develop a valid and reliable measuring instrument. In 2016 SAI computing conference (SAI) (pp. 1006-1015). IEEE.</w:t>
      </w:r>
    </w:p>
    <w:p w:rsidR="0030673B" w:rsidRPr="0030673B" w:rsidRDefault="0030673B" w:rsidP="0030673B">
      <w:pPr>
        <w:numPr>
          <w:ilvl w:val="0"/>
          <w:numId w:val="18"/>
        </w:numPr>
      </w:pPr>
      <w:r w:rsidRPr="0030673B">
        <w:t>Davis, K., Schoenbaum, S. C., &amp; Audet, A. M. (2015). A 2020 vision of patient-</w:t>
      </w:r>
      <w:proofErr w:type="spellStart"/>
      <w:r w:rsidRPr="0030673B">
        <w:t>centered</w:t>
      </w:r>
      <w:proofErr w:type="spellEnd"/>
      <w:r w:rsidRPr="0030673B">
        <w:t xml:space="preserve"> primary care. Journal of general internal medicine, 20(10), 953–957. https://doi.org/10.1111/j.1525-1497.2005.0178.x</w:t>
      </w:r>
    </w:p>
    <w:p w:rsidR="0030673B" w:rsidRPr="0030673B" w:rsidRDefault="0030673B" w:rsidP="0030673B">
      <w:pPr>
        <w:numPr>
          <w:ilvl w:val="0"/>
          <w:numId w:val="18"/>
        </w:numPr>
        <w:rPr>
          <w:lang w:val="en-US"/>
        </w:rPr>
      </w:pPr>
      <w:r w:rsidRPr="0030673B">
        <w:rPr>
          <w:lang w:val="en-US"/>
        </w:rPr>
        <w:t>Dawn, A. G., &amp; Lee, P. P. (2023). Patient satisfaction instruments used at academic medical centers: results of a survey. American journal of medical quality: the official journal of the American College of Medical Quality, 18(6), 265–269. https://doi.org/10.1177/106286060301800607</w:t>
      </w:r>
    </w:p>
    <w:p w:rsidR="0030673B" w:rsidRPr="0030673B" w:rsidRDefault="0030673B" w:rsidP="0030673B">
      <w:pPr>
        <w:numPr>
          <w:ilvl w:val="0"/>
          <w:numId w:val="18"/>
        </w:numPr>
      </w:pPr>
      <w:r w:rsidRPr="0030673B">
        <w:t xml:space="preserve">DeCarlo, M. (2019). Scientific Inquiry in Social Work. </w:t>
      </w:r>
      <w:proofErr w:type="spellStart"/>
      <w:r w:rsidRPr="0030673B">
        <w:t>PressBooks</w:t>
      </w:r>
      <w:proofErr w:type="spellEnd"/>
      <w:r w:rsidRPr="0030673B">
        <w:t>.</w:t>
      </w:r>
    </w:p>
    <w:p w:rsidR="0030673B" w:rsidRPr="0030673B" w:rsidRDefault="0030673B" w:rsidP="0030673B">
      <w:pPr>
        <w:numPr>
          <w:ilvl w:val="0"/>
          <w:numId w:val="18"/>
        </w:numPr>
        <w:rPr>
          <w:lang w:val="en-US"/>
        </w:rPr>
      </w:pPr>
      <w:r w:rsidRPr="0030673B">
        <w:rPr>
          <w:lang w:val="en-US"/>
        </w:rPr>
        <w:t>Delaney, L. J. (2018). Patient-centered care as an approach to improving health care in Australia. </w:t>
      </w:r>
      <w:r w:rsidRPr="0030673B">
        <w:rPr>
          <w:i/>
          <w:iCs/>
          <w:lang w:val="en-US"/>
        </w:rPr>
        <w:t>Collegian</w:t>
      </w:r>
      <w:r w:rsidRPr="0030673B">
        <w:rPr>
          <w:lang w:val="en-US"/>
        </w:rPr>
        <w:t>, </w:t>
      </w:r>
      <w:r w:rsidRPr="0030673B">
        <w:rPr>
          <w:b/>
          <w:bCs/>
          <w:lang w:val="en-US"/>
        </w:rPr>
        <w:t>25</w:t>
      </w:r>
      <w:r w:rsidRPr="0030673B">
        <w:rPr>
          <w:lang w:val="en-US"/>
        </w:rPr>
        <w:t>(1), 119–123. </w:t>
      </w:r>
      <w:hyperlink r:id="rId43" w:history="1">
        <w:r w:rsidRPr="0030673B">
          <w:rPr>
            <w:rStyle w:val="Hyperlink"/>
            <w:lang w:val="en-US"/>
          </w:rPr>
          <w:t>https://doi.org/10.1016/j.colegn.2017.02.005</w:t>
        </w:r>
      </w:hyperlink>
    </w:p>
    <w:p w:rsidR="0030673B" w:rsidRPr="0030673B" w:rsidRDefault="0030673B" w:rsidP="0030673B">
      <w:pPr>
        <w:numPr>
          <w:ilvl w:val="0"/>
          <w:numId w:val="18"/>
        </w:numPr>
      </w:pPr>
      <w:r w:rsidRPr="0030673B">
        <w:t>Diaz, A. B. C., &amp; Ruiz, F. J. M. (2019). The consumer’s reaction to delays in service. International Journal of service industry management.</w:t>
      </w:r>
    </w:p>
    <w:p w:rsidR="0030673B" w:rsidRPr="0030673B" w:rsidRDefault="0030673B" w:rsidP="0030673B">
      <w:pPr>
        <w:numPr>
          <w:ilvl w:val="0"/>
          <w:numId w:val="18"/>
        </w:numPr>
        <w:rPr>
          <w:lang w:val="en-US"/>
        </w:rPr>
      </w:pPr>
      <w:r w:rsidRPr="0030673B">
        <w:rPr>
          <w:lang w:val="en-US"/>
        </w:rPr>
        <w:t>Donyai, P., O'Grady, K., Jacklin, A., Barber, N., &amp; Franklin, B. D. (2018). The effects of electronic prescribing on the quality of prescribing. British journal of clinical pharmacology, 65(2), 230-237. https://doi.org/10.1111/j.1365-2125.2007.02995.x</w:t>
      </w:r>
    </w:p>
    <w:p w:rsidR="0030673B" w:rsidRPr="0030673B" w:rsidRDefault="0030673B" w:rsidP="0030673B">
      <w:pPr>
        <w:numPr>
          <w:ilvl w:val="0"/>
          <w:numId w:val="18"/>
        </w:numPr>
      </w:pPr>
      <w:r w:rsidRPr="0030673B">
        <w:t>Duggirala, M., Rajendran, C., &amp; Anantharaman, R. N. (2019). Patient‐perceived dimensions of total quality service in healthcare. Benchmarking: An international journal.</w:t>
      </w:r>
    </w:p>
    <w:p w:rsidR="0030673B" w:rsidRPr="0030673B" w:rsidRDefault="0030673B" w:rsidP="0030673B">
      <w:pPr>
        <w:numPr>
          <w:ilvl w:val="0"/>
          <w:numId w:val="18"/>
        </w:numPr>
        <w:rPr>
          <w:lang w:val="en-US"/>
        </w:rPr>
      </w:pPr>
      <w:proofErr w:type="spellStart"/>
      <w:r w:rsidRPr="0030673B">
        <w:rPr>
          <w:lang w:val="en-US"/>
        </w:rPr>
        <w:t>Dunsch</w:t>
      </w:r>
      <w:proofErr w:type="spellEnd"/>
      <w:r w:rsidRPr="0030673B">
        <w:rPr>
          <w:lang w:val="en-US"/>
        </w:rPr>
        <w:t xml:space="preserve"> F, Evans DK, Macis M, Wang Q. Bias in patient satisfaction surveys: a threat to measuring healthcare quality. BMJ global health. 2018 Apr 1;3(2): e000694. </w:t>
      </w:r>
    </w:p>
    <w:p w:rsidR="0030673B" w:rsidRPr="0030673B" w:rsidRDefault="0030673B" w:rsidP="0030673B">
      <w:pPr>
        <w:numPr>
          <w:ilvl w:val="0"/>
          <w:numId w:val="18"/>
        </w:numPr>
        <w:rPr>
          <w:lang w:val="en-US"/>
        </w:rPr>
      </w:pPr>
      <w:r w:rsidRPr="0030673B">
        <w:rPr>
          <w:lang w:val="en-US"/>
        </w:rPr>
        <w:t>El-Alti, L., Sandman, L., &amp; Munthe, C. (2019). Person centered care and personalized medicine: Irreconcilable opposites or potential companions? Health Care Analysis, 27(1), 45-59. https://doi.org/10.1007/s10728-017-0347-5</w:t>
      </w:r>
    </w:p>
    <w:p w:rsidR="0030673B" w:rsidRPr="0030673B" w:rsidRDefault="0030673B" w:rsidP="0030673B">
      <w:pPr>
        <w:numPr>
          <w:ilvl w:val="0"/>
          <w:numId w:val="18"/>
        </w:numPr>
      </w:pPr>
      <w:r w:rsidRPr="0030673B">
        <w:t>Eldredge, J. D., Weagel, E. F., &amp; Kroth, P. J. (2019). Defining and identifying members of a research study population: CTSA-affiliated faculty members. Hypothesis: The Newsletter of the Research Section of MLA, 26(1), 5.</w:t>
      </w:r>
    </w:p>
    <w:p w:rsidR="0030673B" w:rsidRPr="0030673B" w:rsidRDefault="0030673B" w:rsidP="0030673B">
      <w:pPr>
        <w:numPr>
          <w:ilvl w:val="0"/>
          <w:numId w:val="18"/>
        </w:numPr>
      </w:pPr>
      <w:r w:rsidRPr="0030673B">
        <w:lastRenderedPageBreak/>
        <w:t>El-Mahalli, A. A., El-Khafif, S. H., &amp; Al-Qahtani, M. F. (2018). Successes and challenges in the implementation and application of telemedicine in the eastern province of Saudi Arabia. Perspectives in health information management/AHIMA, American Health Information Management Association, 9(Fall).</w:t>
      </w:r>
    </w:p>
    <w:p w:rsidR="0030673B" w:rsidRPr="0030673B" w:rsidRDefault="0030673B" w:rsidP="0030673B">
      <w:pPr>
        <w:numPr>
          <w:ilvl w:val="0"/>
          <w:numId w:val="18"/>
        </w:numPr>
        <w:rPr>
          <w:lang w:val="en-US"/>
        </w:rPr>
      </w:pPr>
      <w:r w:rsidRPr="0030673B">
        <w:rPr>
          <w:lang w:val="en-US"/>
        </w:rPr>
        <w:t xml:space="preserve">Espinel, A. G., Shah, R. K., McCormick, M. E., </w:t>
      </w:r>
      <w:proofErr w:type="spellStart"/>
      <w:r w:rsidRPr="0030673B">
        <w:rPr>
          <w:lang w:val="en-US"/>
        </w:rPr>
        <w:t>Krakovitz</w:t>
      </w:r>
      <w:proofErr w:type="spellEnd"/>
      <w:r w:rsidRPr="0030673B">
        <w:rPr>
          <w:lang w:val="en-US"/>
        </w:rPr>
        <w:t>, P. R., &amp; Boss, E. F. (2019). Patient satisfaction in pediatric surgical care: a systematic review. Otolaryngology--Head and Neck Surgery, 150(5), 739-749.</w:t>
      </w:r>
    </w:p>
    <w:p w:rsidR="0030673B" w:rsidRPr="0030673B" w:rsidRDefault="0030673B" w:rsidP="0030673B">
      <w:pPr>
        <w:numPr>
          <w:ilvl w:val="0"/>
          <w:numId w:val="18"/>
        </w:numPr>
      </w:pPr>
      <w:r w:rsidRPr="0030673B">
        <w:t xml:space="preserve">Fahy, N., Williams, G. A., Habicht, T., Köhler, K., </w:t>
      </w:r>
      <w:proofErr w:type="spellStart"/>
      <w:r w:rsidRPr="0030673B">
        <w:t>Jormanainen</w:t>
      </w:r>
      <w:proofErr w:type="spellEnd"/>
      <w:r w:rsidRPr="0030673B">
        <w:t xml:space="preserve">, V., </w:t>
      </w:r>
      <w:proofErr w:type="spellStart"/>
      <w:r w:rsidRPr="0030673B">
        <w:t>Satokangas</w:t>
      </w:r>
      <w:proofErr w:type="spellEnd"/>
      <w:r w:rsidRPr="0030673B">
        <w:t>, M., ... &amp; Romero, F. E. (2021). Use of digital health tools in Europe: Before, during and after COVID-19 [Internet].</w:t>
      </w:r>
    </w:p>
    <w:p w:rsidR="0030673B" w:rsidRPr="0030673B" w:rsidRDefault="0030673B" w:rsidP="0030673B">
      <w:pPr>
        <w:numPr>
          <w:ilvl w:val="0"/>
          <w:numId w:val="18"/>
        </w:numPr>
        <w:rPr>
          <w:lang w:val="en-US"/>
        </w:rPr>
      </w:pPr>
      <w:proofErr w:type="spellStart"/>
      <w:r w:rsidRPr="0030673B">
        <w:rPr>
          <w:lang w:val="en-US"/>
        </w:rPr>
        <w:t>Farzianpour</w:t>
      </w:r>
      <w:proofErr w:type="spellEnd"/>
      <w:r w:rsidRPr="0030673B">
        <w:rPr>
          <w:lang w:val="en-US"/>
        </w:rPr>
        <w:t xml:space="preserve">, F., </w:t>
      </w:r>
      <w:proofErr w:type="spellStart"/>
      <w:r w:rsidRPr="0030673B">
        <w:rPr>
          <w:lang w:val="en-US"/>
        </w:rPr>
        <w:t>Byravan</w:t>
      </w:r>
      <w:proofErr w:type="spellEnd"/>
      <w:r w:rsidRPr="0030673B">
        <w:rPr>
          <w:lang w:val="en-US"/>
        </w:rPr>
        <w:t xml:space="preserve">, R., &amp; Amirian, S. (2015). Evaluation of patient satisfaction and factors affecting it: a review of the literature. Health, 7(11), 1460. Doi: 10.4236/health.2015.711160 </w:t>
      </w:r>
    </w:p>
    <w:p w:rsidR="0030673B" w:rsidRPr="0030673B" w:rsidRDefault="0030673B" w:rsidP="0030673B">
      <w:pPr>
        <w:numPr>
          <w:ilvl w:val="0"/>
          <w:numId w:val="18"/>
        </w:numPr>
        <w:rPr>
          <w:lang w:val="en-US"/>
        </w:rPr>
      </w:pPr>
      <w:r w:rsidRPr="0030673B">
        <w:rPr>
          <w:lang w:val="en-US"/>
        </w:rPr>
        <w:t xml:space="preserve">Ferrand, Y. B., Siemens, J., Weathers, D., Fredendall, L. D., Choi, Y., </w:t>
      </w:r>
      <w:proofErr w:type="spellStart"/>
      <w:r w:rsidRPr="0030673B">
        <w:rPr>
          <w:lang w:val="en-US"/>
        </w:rPr>
        <w:t>Pirrallo</w:t>
      </w:r>
      <w:proofErr w:type="spellEnd"/>
      <w:r w:rsidRPr="0030673B">
        <w:rPr>
          <w:lang w:val="en-US"/>
        </w:rPr>
        <w:t>, R. G., &amp; Bitner, M. (2016). Patient satisfaction with healthcare services a critical review. Quality Management Journal, 23(4), 6-22.</w:t>
      </w:r>
    </w:p>
    <w:p w:rsidR="0030673B" w:rsidRPr="0030673B" w:rsidRDefault="0030673B" w:rsidP="0030673B">
      <w:pPr>
        <w:numPr>
          <w:ilvl w:val="0"/>
          <w:numId w:val="18"/>
        </w:numPr>
        <w:rPr>
          <w:lang w:val="en-US"/>
        </w:rPr>
      </w:pPr>
      <w:r w:rsidRPr="0030673B">
        <w:rPr>
          <w:lang w:val="en-US"/>
        </w:rPr>
        <w:t xml:space="preserve">Finkelstein, J., Knight, A., Marinopoulos, S., Gibbons, M. C., Berger, Z., </w:t>
      </w:r>
      <w:proofErr w:type="spellStart"/>
      <w:r w:rsidRPr="0030673B">
        <w:rPr>
          <w:lang w:val="en-US"/>
        </w:rPr>
        <w:t>Aboumatar</w:t>
      </w:r>
      <w:proofErr w:type="spellEnd"/>
      <w:r w:rsidRPr="0030673B">
        <w:rPr>
          <w:lang w:val="en-US"/>
        </w:rPr>
        <w:t>, H., ... &amp; Bass, E. B. (2019). Enabling patient-centered care through health information technology. Evidence report/technology assessment, (206), 1-1531.</w:t>
      </w:r>
    </w:p>
    <w:p w:rsidR="0030673B" w:rsidRPr="0030673B" w:rsidRDefault="0030673B" w:rsidP="0030673B">
      <w:pPr>
        <w:numPr>
          <w:ilvl w:val="0"/>
          <w:numId w:val="18"/>
        </w:numPr>
        <w:rPr>
          <w:lang w:val="en-US"/>
        </w:rPr>
      </w:pPr>
      <w:r w:rsidRPr="0030673B">
        <w:rPr>
          <w:lang w:val="en-US"/>
        </w:rPr>
        <w:t xml:space="preserve">Finney Rutten, L. J., </w:t>
      </w:r>
      <w:proofErr w:type="spellStart"/>
      <w:r w:rsidRPr="0030673B">
        <w:rPr>
          <w:lang w:val="en-US"/>
        </w:rPr>
        <w:t>Agunwamba</w:t>
      </w:r>
      <w:proofErr w:type="spellEnd"/>
      <w:r w:rsidRPr="0030673B">
        <w:rPr>
          <w:lang w:val="en-US"/>
        </w:rPr>
        <w:t xml:space="preserve">, A. A., Greene, S. M., Mazor, K. M., Ebbert, J. O., St </w:t>
      </w:r>
      <w:proofErr w:type="spellStart"/>
      <w:r w:rsidRPr="0030673B">
        <w:rPr>
          <w:lang w:val="en-US"/>
        </w:rPr>
        <w:t>Sauver</w:t>
      </w:r>
      <w:proofErr w:type="spellEnd"/>
      <w:r w:rsidRPr="0030673B">
        <w:rPr>
          <w:lang w:val="en-US"/>
        </w:rPr>
        <w:t xml:space="preserve">, J. L., &amp; Dearing, J. W. (2014). Enabling patient-centered communication and care through health information technology. Journal of Communication in Healthcare, 7(4), 255-261. </w:t>
      </w:r>
      <w:hyperlink r:id="rId44" w:history="1">
        <w:r w:rsidRPr="0030673B">
          <w:rPr>
            <w:rStyle w:val="Hyperlink"/>
            <w:lang w:val="en-US"/>
          </w:rPr>
          <w:t>https://doi.org/10.1179/1753807614Y.0000000067</w:t>
        </w:r>
      </w:hyperlink>
      <w:r w:rsidRPr="0030673B">
        <w:rPr>
          <w:lang w:val="en-US"/>
        </w:rPr>
        <w:t xml:space="preserve"> </w:t>
      </w:r>
    </w:p>
    <w:p w:rsidR="0030673B" w:rsidRPr="0030673B" w:rsidRDefault="0030673B" w:rsidP="0030673B">
      <w:pPr>
        <w:numPr>
          <w:ilvl w:val="0"/>
          <w:numId w:val="18"/>
        </w:numPr>
      </w:pPr>
      <w:r w:rsidRPr="0030673B">
        <w:t>Forster, J. J. Sample Surveys: Nonprobability Sampling (N. J. Smelser &amp; P. B. B. T.-I. E. of the S. &amp; B. S. Baltes (eds.); pp. 13467–13470). Pergamon. https://doi.org/https://doi.org/10.1016/B0-08-043076-7/00499-X</w:t>
      </w:r>
    </w:p>
    <w:p w:rsidR="0030673B" w:rsidRPr="0030673B" w:rsidRDefault="0030673B" w:rsidP="0030673B">
      <w:pPr>
        <w:numPr>
          <w:ilvl w:val="0"/>
          <w:numId w:val="18"/>
        </w:numPr>
      </w:pPr>
      <w:r w:rsidRPr="0030673B">
        <w:t>Frampton, S. B., Guastello, S., Hoy, L., Naylor, M., Sheridan, S., &amp; Johnston-Fleece, M. (2017). Harnessing evidence and experience to change culture: A guiding framework for patient and family engaged care. NAM Perspectives.</w:t>
      </w:r>
    </w:p>
    <w:p w:rsidR="0030673B" w:rsidRPr="0030673B" w:rsidRDefault="0030673B" w:rsidP="0030673B">
      <w:pPr>
        <w:numPr>
          <w:ilvl w:val="0"/>
          <w:numId w:val="18"/>
        </w:numPr>
        <w:rPr>
          <w:lang w:val="en-US"/>
        </w:rPr>
      </w:pPr>
      <w:r w:rsidRPr="0030673B">
        <w:rPr>
          <w:lang w:val="en-US"/>
        </w:rPr>
        <w:t xml:space="preserve">Free, C., Phillips, G., Galli, L., Watson, L., Felix, L., Edwards, P., ... &amp; Haines, A. (2018). The effectiveness of mobile-health technology-based health </w:t>
      </w:r>
      <w:proofErr w:type="spellStart"/>
      <w:r w:rsidRPr="0030673B">
        <w:rPr>
          <w:lang w:val="en-US"/>
        </w:rPr>
        <w:t>behaviour</w:t>
      </w:r>
      <w:proofErr w:type="spellEnd"/>
      <w:r w:rsidRPr="0030673B">
        <w:rPr>
          <w:lang w:val="en-US"/>
        </w:rPr>
        <w:t xml:space="preserve"> change or disease management interventions for health care consumers: a systematic review. </w:t>
      </w:r>
      <w:proofErr w:type="spellStart"/>
      <w:r w:rsidRPr="0030673B">
        <w:rPr>
          <w:lang w:val="en-US"/>
        </w:rPr>
        <w:t>PLoS</w:t>
      </w:r>
      <w:proofErr w:type="spellEnd"/>
      <w:r w:rsidRPr="0030673B">
        <w:rPr>
          <w:lang w:val="en-US"/>
        </w:rPr>
        <w:t xml:space="preserve"> medicine, 10(1), e1001362. http://dx.doi.org/10.1371/journal.pmed.1001362</w:t>
      </w:r>
    </w:p>
    <w:p w:rsidR="0030673B" w:rsidRPr="0030673B" w:rsidRDefault="0030673B" w:rsidP="0030673B">
      <w:pPr>
        <w:numPr>
          <w:ilvl w:val="0"/>
          <w:numId w:val="18"/>
        </w:numPr>
      </w:pPr>
      <w:r w:rsidRPr="0030673B">
        <w:t>Fugard, A. J., &amp; Potts, H. W. (2015). Supporting thinking on sample sizes for thematic analyses: a quantitative tool. International Journal of Social Research Methodology, 18(6), 669-684.</w:t>
      </w:r>
    </w:p>
    <w:p w:rsidR="0030673B" w:rsidRPr="0030673B" w:rsidRDefault="0030673B" w:rsidP="0030673B">
      <w:pPr>
        <w:numPr>
          <w:ilvl w:val="0"/>
          <w:numId w:val="18"/>
        </w:numPr>
      </w:pPr>
      <w:r w:rsidRPr="0030673B">
        <w:lastRenderedPageBreak/>
        <w:t>Galloway, A. (2005). Non-Probability Sampling (K. B. T.-E. of S. M. Kempf-Leonard (ed.); pp. 859–864). Elsevier. https://doi.org/https://doi.org/10.1016/B0-12-369398-5/00382-0</w:t>
      </w:r>
    </w:p>
    <w:p w:rsidR="0030673B" w:rsidRPr="0030673B" w:rsidRDefault="0030673B" w:rsidP="0030673B">
      <w:pPr>
        <w:numPr>
          <w:ilvl w:val="0"/>
          <w:numId w:val="18"/>
        </w:numPr>
      </w:pPr>
      <w:r w:rsidRPr="0030673B">
        <w:t>Gardner, G., Gardner, A., MacLellan, L., &amp; Osborne, S. (2003). Reconceptualising the objectives of a pilot study for clinical research. International journal of nursing studies, 40(7), 719-724.</w:t>
      </w:r>
    </w:p>
    <w:p w:rsidR="0030673B" w:rsidRPr="0030673B" w:rsidRDefault="0030673B" w:rsidP="0030673B">
      <w:pPr>
        <w:numPr>
          <w:ilvl w:val="0"/>
          <w:numId w:val="18"/>
        </w:numPr>
      </w:pPr>
      <w:r w:rsidRPr="0030673B">
        <w:t>Glasgow, G. (2005). Stratified Sampling Types (K. B. T.-E. of S. M. Kempf-Leonard (ed.); pp. 683–688). Elsevier. https://doi.org/https://doi.org/10.1016/B0-12-369398-5/00066-9</w:t>
      </w:r>
    </w:p>
    <w:p w:rsidR="0030673B" w:rsidRPr="0030673B" w:rsidRDefault="0030673B" w:rsidP="0030673B">
      <w:pPr>
        <w:numPr>
          <w:ilvl w:val="0"/>
          <w:numId w:val="18"/>
        </w:numPr>
        <w:rPr>
          <w:lang w:val="en-US"/>
        </w:rPr>
      </w:pPr>
      <w:r w:rsidRPr="0030673B">
        <w:rPr>
          <w:lang w:val="en-US"/>
        </w:rPr>
        <w:t xml:space="preserve">Goldzweig, C. L., </w:t>
      </w:r>
      <w:proofErr w:type="spellStart"/>
      <w:r w:rsidRPr="0030673B">
        <w:rPr>
          <w:lang w:val="en-US"/>
        </w:rPr>
        <w:t>Towfigh</w:t>
      </w:r>
      <w:proofErr w:type="spellEnd"/>
      <w:r w:rsidRPr="0030673B">
        <w:rPr>
          <w:lang w:val="en-US"/>
        </w:rPr>
        <w:t xml:space="preserve">, A., Maglione, M., &amp; </w:t>
      </w:r>
      <w:proofErr w:type="spellStart"/>
      <w:r w:rsidRPr="0030673B">
        <w:rPr>
          <w:lang w:val="en-US"/>
        </w:rPr>
        <w:t>Shekelle</w:t>
      </w:r>
      <w:proofErr w:type="spellEnd"/>
      <w:r w:rsidRPr="0030673B">
        <w:rPr>
          <w:lang w:val="en-US"/>
        </w:rPr>
        <w:t>, P. G. (2009). Costs And Benefits of Health Information Technology: New Trends from The Literature: Since 2005, patient-focused applications have proliferated, but data on their costs and benefits remain sparse. Health affairs, 28(Suppl2), w282-w293. http://dx.doi.org/10.1377/hlthaff.28.2.w282</w:t>
      </w:r>
    </w:p>
    <w:p w:rsidR="0030673B" w:rsidRPr="0030673B" w:rsidRDefault="0030673B" w:rsidP="0030673B">
      <w:pPr>
        <w:numPr>
          <w:ilvl w:val="0"/>
          <w:numId w:val="18"/>
        </w:numPr>
        <w:rPr>
          <w:lang w:val="en-US"/>
        </w:rPr>
      </w:pPr>
      <w:r w:rsidRPr="0030673B">
        <w:rPr>
          <w:lang w:val="en-US"/>
        </w:rPr>
        <w:t xml:space="preserve">Goula A, Rizopoulos T, </w:t>
      </w:r>
      <w:proofErr w:type="spellStart"/>
      <w:r w:rsidRPr="0030673B">
        <w:rPr>
          <w:lang w:val="en-US"/>
        </w:rPr>
        <w:t>Stamouli</w:t>
      </w:r>
      <w:proofErr w:type="spellEnd"/>
      <w:r w:rsidRPr="0030673B">
        <w:rPr>
          <w:lang w:val="en-US"/>
        </w:rPr>
        <w:t xml:space="preserve"> MA, Kelesi M, Kaba E, Soulis S. Internal Quality and Job Satisfaction in Health Care Services. International Journal of Environmental Research and Public Health. 2022 Jan;19(3):1496. </w:t>
      </w:r>
    </w:p>
    <w:p w:rsidR="0030673B" w:rsidRPr="0030673B" w:rsidRDefault="0030673B" w:rsidP="0030673B">
      <w:pPr>
        <w:numPr>
          <w:ilvl w:val="0"/>
          <w:numId w:val="18"/>
        </w:numPr>
        <w:rPr>
          <w:lang w:val="en-US"/>
        </w:rPr>
      </w:pPr>
      <w:r w:rsidRPr="0030673B">
        <w:rPr>
          <w:lang w:val="en-US"/>
        </w:rPr>
        <w:t xml:space="preserve">Grasso MS, Del Carmen Valls Martínez M, Ramírez-Orellana A. Health Policies Based on Patient Satisfaction: A Bibliometric Study. Healthcare (Basel). 2021 Nov 8;9(11):1520. </w:t>
      </w:r>
      <w:proofErr w:type="spellStart"/>
      <w:r w:rsidRPr="0030673B">
        <w:rPr>
          <w:lang w:val="en-US"/>
        </w:rPr>
        <w:t>doi</w:t>
      </w:r>
      <w:proofErr w:type="spellEnd"/>
      <w:r w:rsidRPr="0030673B">
        <w:rPr>
          <w:lang w:val="en-US"/>
        </w:rPr>
        <w:t xml:space="preserve">: 10.3390/healthcare9111520. PMID: 34828566; PMCID: PMC8624416. </w:t>
      </w:r>
    </w:p>
    <w:p w:rsidR="0030673B" w:rsidRPr="0030673B" w:rsidRDefault="0030673B" w:rsidP="0030673B">
      <w:pPr>
        <w:numPr>
          <w:ilvl w:val="0"/>
          <w:numId w:val="18"/>
        </w:numPr>
        <w:rPr>
          <w:lang w:val="en-US"/>
        </w:rPr>
      </w:pPr>
      <w:r w:rsidRPr="0030673B">
        <w:rPr>
          <w:lang w:val="en-US"/>
        </w:rPr>
        <w:t>Gribble, R. K., &amp; Haupt, C. (2005). Quantitative and qualitative differences between handout and mailed patient satisfaction surveys. Medical care, 43(3), 276-281.</w:t>
      </w:r>
    </w:p>
    <w:p w:rsidR="0030673B" w:rsidRPr="0030673B" w:rsidRDefault="0030673B" w:rsidP="0030673B">
      <w:pPr>
        <w:numPr>
          <w:ilvl w:val="0"/>
          <w:numId w:val="18"/>
        </w:numPr>
        <w:rPr>
          <w:lang w:val="en-US"/>
        </w:rPr>
      </w:pPr>
      <w:r w:rsidRPr="0030673B">
        <w:rPr>
          <w:lang w:val="en-US"/>
        </w:rPr>
        <w:t xml:space="preserve">Groene, O., </w:t>
      </w:r>
      <w:proofErr w:type="spellStart"/>
      <w:r w:rsidRPr="0030673B">
        <w:rPr>
          <w:lang w:val="en-US"/>
        </w:rPr>
        <w:t>Lombarts</w:t>
      </w:r>
      <w:proofErr w:type="spellEnd"/>
      <w:r w:rsidRPr="0030673B">
        <w:rPr>
          <w:lang w:val="en-US"/>
        </w:rPr>
        <w:t xml:space="preserve">, M. J. M. H., </w:t>
      </w:r>
      <w:proofErr w:type="spellStart"/>
      <w:r w:rsidRPr="0030673B">
        <w:rPr>
          <w:lang w:val="en-US"/>
        </w:rPr>
        <w:t>Klazinga</w:t>
      </w:r>
      <w:proofErr w:type="spellEnd"/>
      <w:r w:rsidRPr="0030673B">
        <w:rPr>
          <w:lang w:val="en-US"/>
        </w:rPr>
        <w:t xml:space="preserve">, N., Alonso, J., Thompson, A., &amp; </w:t>
      </w:r>
      <w:proofErr w:type="spellStart"/>
      <w:r w:rsidRPr="0030673B">
        <w:rPr>
          <w:lang w:val="en-US"/>
        </w:rPr>
        <w:t>Suñol</w:t>
      </w:r>
      <w:proofErr w:type="spellEnd"/>
      <w:r w:rsidRPr="0030673B">
        <w:rPr>
          <w:lang w:val="en-US"/>
        </w:rPr>
        <w:t>, R. (2009). Is patient-centeredness in European hospitals related to existing quality improvement strategies? Analysis of a cross-sectional survey (</w:t>
      </w:r>
      <w:proofErr w:type="spellStart"/>
      <w:r w:rsidRPr="0030673B">
        <w:rPr>
          <w:lang w:val="en-US"/>
        </w:rPr>
        <w:t>MARQuIS</w:t>
      </w:r>
      <w:proofErr w:type="spellEnd"/>
      <w:r w:rsidRPr="0030673B">
        <w:rPr>
          <w:lang w:val="en-US"/>
        </w:rPr>
        <w:t xml:space="preserve"> study). BMJ Quality &amp; Safety, 18(Suppl 1), i44-i50.</w:t>
      </w:r>
    </w:p>
    <w:p w:rsidR="0030673B" w:rsidRPr="0030673B" w:rsidRDefault="0030673B" w:rsidP="0030673B">
      <w:pPr>
        <w:numPr>
          <w:ilvl w:val="0"/>
          <w:numId w:val="18"/>
        </w:numPr>
        <w:rPr>
          <w:lang w:val="en-US"/>
        </w:rPr>
      </w:pPr>
      <w:r w:rsidRPr="0030673B">
        <w:rPr>
          <w:lang w:val="en-US"/>
        </w:rPr>
        <w:t xml:space="preserve">Gu, D., Yang, X., Li, X., Jain, H. K., &amp; Liang, C. (2018). Understanding the role of mobile internet-based health services in patient satisfaction and word-of-mouth. International journal of environmental research and public health, 15(9), 1972. </w:t>
      </w:r>
      <w:hyperlink r:id="rId45" w:history="1">
        <w:r w:rsidRPr="0030673B">
          <w:rPr>
            <w:rStyle w:val="Hyperlink"/>
            <w:lang w:val="en-US"/>
          </w:rPr>
          <w:t>https://doi.org/10.3390/ijerph15091972</w:t>
        </w:r>
      </w:hyperlink>
      <w:r w:rsidRPr="0030673B">
        <w:rPr>
          <w:lang w:val="en-US"/>
        </w:rPr>
        <w:t xml:space="preserve">  </w:t>
      </w:r>
    </w:p>
    <w:p w:rsidR="0030673B" w:rsidRPr="0030673B" w:rsidRDefault="0030673B" w:rsidP="0030673B">
      <w:pPr>
        <w:numPr>
          <w:ilvl w:val="0"/>
          <w:numId w:val="18"/>
        </w:numPr>
      </w:pPr>
      <w:r w:rsidRPr="0030673B">
        <w:t>Guest, G., Bunce, A., &amp; Johnson, L. (2006). How many interviews are enough? An experiment with data saturation and variability. Field methods, 18(1), 59-82.</w:t>
      </w:r>
    </w:p>
    <w:p w:rsidR="0030673B" w:rsidRPr="0030673B" w:rsidRDefault="0030673B" w:rsidP="0030673B">
      <w:pPr>
        <w:numPr>
          <w:ilvl w:val="0"/>
          <w:numId w:val="18"/>
        </w:numPr>
        <w:rPr>
          <w:lang w:val="en-US"/>
        </w:rPr>
      </w:pPr>
      <w:r w:rsidRPr="0030673B">
        <w:rPr>
          <w:lang w:val="en-US"/>
        </w:rPr>
        <w:t>Guyatt, G. H., Mitchell, A., Molloy, D. W., Capretta, R., Horsman, J., &amp; Griffith, L. (1995). Measuring patient and relative satisfaction with level or aggressiveness of care and involvement in care decisions in the context of life-threatening illness. Journal of clinical epidemiology, 48(10), 1215-1224.</w:t>
      </w:r>
    </w:p>
    <w:p w:rsidR="0030673B" w:rsidRPr="0030673B" w:rsidRDefault="0030673B" w:rsidP="0030673B">
      <w:pPr>
        <w:numPr>
          <w:ilvl w:val="0"/>
          <w:numId w:val="18"/>
        </w:numPr>
        <w:rPr>
          <w:lang w:val="en-US"/>
        </w:rPr>
      </w:pPr>
      <w:r w:rsidRPr="0030673B">
        <w:rPr>
          <w:lang w:val="en-US"/>
        </w:rPr>
        <w:t xml:space="preserve">Håkansson, J. E., Holmström, I. K., Kumlin, T., Kaminsky, E., Skoglund, K., </w:t>
      </w:r>
      <w:proofErr w:type="spellStart"/>
      <w:r w:rsidRPr="0030673B">
        <w:rPr>
          <w:lang w:val="en-US"/>
        </w:rPr>
        <w:t>Höglander</w:t>
      </w:r>
      <w:proofErr w:type="spellEnd"/>
      <w:r w:rsidRPr="0030673B">
        <w:rPr>
          <w:lang w:val="en-US"/>
        </w:rPr>
        <w:t xml:space="preserve">, J., … Summer, M. M. (2019). " Same </w:t>
      </w:r>
      <w:proofErr w:type="spellStart"/>
      <w:r w:rsidRPr="0030673B">
        <w:rPr>
          <w:lang w:val="en-US"/>
        </w:rPr>
        <w:t>same</w:t>
      </w:r>
      <w:proofErr w:type="spellEnd"/>
      <w:r w:rsidRPr="0030673B">
        <w:rPr>
          <w:lang w:val="en-US"/>
        </w:rPr>
        <w:t xml:space="preserve"> or different?" A review of reviews of person-centered and patient-centered care. Patient Education and Counseling, 102(1), 3–11.</w:t>
      </w:r>
    </w:p>
    <w:p w:rsidR="0030673B" w:rsidRPr="0030673B" w:rsidRDefault="0030673B" w:rsidP="0030673B">
      <w:pPr>
        <w:numPr>
          <w:ilvl w:val="0"/>
          <w:numId w:val="18"/>
        </w:numPr>
        <w:rPr>
          <w:lang w:val="en-US"/>
        </w:rPr>
      </w:pPr>
      <w:r w:rsidRPr="0030673B">
        <w:rPr>
          <w:lang w:val="en-US"/>
        </w:rPr>
        <w:lastRenderedPageBreak/>
        <w:t>Hall, M. F. (2008). Looking to improve financial results? Start by listening to patients: improving patient satisfaction can have a direct impact on your hospital's reputation--and financial results. Healthcare Financial Management, 62(10), 76-81.</w:t>
      </w:r>
    </w:p>
    <w:p w:rsidR="0030673B" w:rsidRPr="0030673B" w:rsidRDefault="0030673B" w:rsidP="0030673B">
      <w:pPr>
        <w:numPr>
          <w:ilvl w:val="0"/>
          <w:numId w:val="18"/>
        </w:numPr>
        <w:rPr>
          <w:lang w:val="en-US"/>
        </w:rPr>
      </w:pPr>
      <w:r w:rsidRPr="0030673B">
        <w:rPr>
          <w:lang w:val="en-US"/>
        </w:rPr>
        <w:t xml:space="preserve">Handan, Ç. A. M. (2016). The role of information technology in patient satisfaction. Turkish Economic Review, 3(1), 91-102. </w:t>
      </w:r>
      <w:hyperlink r:id="rId46" w:history="1">
        <w:r w:rsidRPr="0030673B">
          <w:rPr>
            <w:rStyle w:val="Hyperlink"/>
            <w:lang w:val="en-US"/>
          </w:rPr>
          <w:t>http://dx.doi.org/10.1453/ter.v3i1.622</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Hardy, G. E., West, M. A., &amp; Hill, F. (1996). Components and predictors of patient satisfaction. British Journal of Health Psychology, 1(1), 65-85.</w:t>
      </w:r>
    </w:p>
    <w:p w:rsidR="0030673B" w:rsidRPr="0030673B" w:rsidRDefault="0030673B" w:rsidP="0030673B">
      <w:pPr>
        <w:numPr>
          <w:ilvl w:val="0"/>
          <w:numId w:val="18"/>
        </w:numPr>
        <w:rPr>
          <w:lang w:val="en-US"/>
        </w:rPr>
      </w:pPr>
      <w:proofErr w:type="spellStart"/>
      <w:r w:rsidRPr="0030673B">
        <w:rPr>
          <w:lang w:val="en-US"/>
        </w:rPr>
        <w:t>Hasanain</w:t>
      </w:r>
      <w:proofErr w:type="spellEnd"/>
      <w:r w:rsidRPr="0030673B">
        <w:rPr>
          <w:lang w:val="en-US"/>
        </w:rPr>
        <w:t xml:space="preserve">, R., </w:t>
      </w:r>
      <w:proofErr w:type="spellStart"/>
      <w:r w:rsidRPr="0030673B">
        <w:rPr>
          <w:lang w:val="en-US"/>
        </w:rPr>
        <w:t>Vallmuur</w:t>
      </w:r>
      <w:proofErr w:type="spellEnd"/>
      <w:r w:rsidRPr="0030673B">
        <w:rPr>
          <w:lang w:val="en-US"/>
        </w:rPr>
        <w:t>, K., &amp; Clark, M. (2014). Progress and challenges in the implementation of electronic medical records in Saudi Arabia: A systematic review. Health Informatics-An International Journal, 3(2), 1-14.</w:t>
      </w:r>
    </w:p>
    <w:p w:rsidR="0030673B" w:rsidRPr="0030673B" w:rsidRDefault="0030673B" w:rsidP="0030673B">
      <w:pPr>
        <w:numPr>
          <w:ilvl w:val="0"/>
          <w:numId w:val="18"/>
        </w:numPr>
        <w:rPr>
          <w:lang w:val="en-US"/>
        </w:rPr>
      </w:pPr>
      <w:r w:rsidRPr="0030673B">
        <w:rPr>
          <w:lang w:val="en-US"/>
        </w:rPr>
        <w:t xml:space="preserve">Hawthorne, G., Sansoni, J., Hayes, L., </w:t>
      </w:r>
      <w:proofErr w:type="spellStart"/>
      <w:r w:rsidRPr="0030673B">
        <w:rPr>
          <w:lang w:val="en-US"/>
        </w:rPr>
        <w:t>Marosszeky</w:t>
      </w:r>
      <w:proofErr w:type="spellEnd"/>
      <w:r w:rsidRPr="0030673B">
        <w:rPr>
          <w:lang w:val="en-US"/>
        </w:rPr>
        <w:t>, N., &amp; Sansoni, E. (2014). Measuring patient satisfaction with health care treatment using the Short Assessment of Patient Satisfaction measure delivered superior and robust satisfaction estimates. Journal of clinical epidemiology, 67(5), 527-537.</w:t>
      </w:r>
    </w:p>
    <w:p w:rsidR="0030673B" w:rsidRPr="0030673B" w:rsidRDefault="0030673B" w:rsidP="0030673B">
      <w:pPr>
        <w:numPr>
          <w:ilvl w:val="0"/>
          <w:numId w:val="18"/>
        </w:numPr>
      </w:pPr>
      <w:r w:rsidRPr="0030673B">
        <w:t>Hertzog, M. A. (2008). Considerations in determining sample size for pilot studies. Research in nursing &amp; health, 31(2), 180-191.</w:t>
      </w:r>
    </w:p>
    <w:p w:rsidR="0030673B" w:rsidRPr="0030673B" w:rsidRDefault="0030673B" w:rsidP="0030673B">
      <w:pPr>
        <w:numPr>
          <w:ilvl w:val="0"/>
          <w:numId w:val="18"/>
        </w:numPr>
        <w:rPr>
          <w:lang w:val="en-US"/>
        </w:rPr>
      </w:pPr>
      <w:r w:rsidRPr="0030673B">
        <w:rPr>
          <w:lang w:val="en-US"/>
        </w:rPr>
        <w:t>Heydari, A., &amp; Seydi, M. (2008). Patient satisfaction of general practitioners in the city of Qom and its influencing factors 2005-2006. Journal of Medical Council of Islamic Republic of Iran, 26(4), 530-40.</w:t>
      </w:r>
    </w:p>
    <w:p w:rsidR="0030673B" w:rsidRPr="0030673B" w:rsidRDefault="0030673B" w:rsidP="0030673B">
      <w:pPr>
        <w:numPr>
          <w:ilvl w:val="0"/>
          <w:numId w:val="18"/>
        </w:numPr>
      </w:pPr>
      <w:r w:rsidRPr="0030673B">
        <w:t>Hill, R. (2020). What sample size is “enough” in internet survey research. Interpersonal Computing and Technology: An electronic journal for the 21st century, 6(3-4), 1-12.</w:t>
      </w:r>
    </w:p>
    <w:p w:rsidR="0030673B" w:rsidRPr="0030673B" w:rsidRDefault="0030673B" w:rsidP="0030673B">
      <w:pPr>
        <w:numPr>
          <w:ilvl w:val="0"/>
          <w:numId w:val="18"/>
        </w:numPr>
        <w:rPr>
          <w:lang w:val="en-US"/>
        </w:rPr>
      </w:pPr>
      <w:r w:rsidRPr="0030673B">
        <w:rPr>
          <w:lang w:val="en-US"/>
        </w:rPr>
        <w:t xml:space="preserve">Hower, K. I., </w:t>
      </w:r>
      <w:proofErr w:type="spellStart"/>
      <w:r w:rsidRPr="0030673B">
        <w:rPr>
          <w:lang w:val="en-US"/>
        </w:rPr>
        <w:t>Vennedey</w:t>
      </w:r>
      <w:proofErr w:type="spellEnd"/>
      <w:r w:rsidRPr="0030673B">
        <w:rPr>
          <w:lang w:val="en-US"/>
        </w:rPr>
        <w:t xml:space="preserve">, V., Hillen, H. A., Kuntz, L., Stock, S., Pfaff, H., &amp; </w:t>
      </w:r>
      <w:proofErr w:type="spellStart"/>
      <w:r w:rsidRPr="0030673B">
        <w:rPr>
          <w:lang w:val="en-US"/>
        </w:rPr>
        <w:t>Ansmann</w:t>
      </w:r>
      <w:proofErr w:type="spellEnd"/>
      <w:r w:rsidRPr="0030673B">
        <w:rPr>
          <w:lang w:val="en-US"/>
        </w:rPr>
        <w:t>, L. (2019). Implementation of patient-centered care: Which organizational determinants matter from decision maker's perspective? Results from a qualitative interview study across various health and social care organizations. British Medical Journal Open, 9(4), e027591.</w:t>
      </w:r>
    </w:p>
    <w:p w:rsidR="0030673B" w:rsidRPr="0030673B" w:rsidRDefault="0030673B" w:rsidP="0030673B">
      <w:pPr>
        <w:numPr>
          <w:ilvl w:val="0"/>
          <w:numId w:val="18"/>
        </w:numPr>
      </w:pPr>
      <w:r w:rsidRPr="0030673B">
        <w:t>Hsu, C., Gray, M. F., Murray, L., Abraham, M., Nickel, W., Sweeney, J. M., ... &amp; Reid, R. J. (2019). Actions and processes that patients, family members, and physicians associate with patient-and family-</w:t>
      </w:r>
      <w:proofErr w:type="spellStart"/>
      <w:r w:rsidRPr="0030673B">
        <w:t>centered</w:t>
      </w:r>
      <w:proofErr w:type="spellEnd"/>
      <w:r w:rsidRPr="0030673B">
        <w:t xml:space="preserve"> care. BMC family practice, 20(1), 1-11.</w:t>
      </w:r>
    </w:p>
    <w:p w:rsidR="0030673B" w:rsidRPr="0030673B" w:rsidRDefault="0030673B" w:rsidP="0030673B">
      <w:pPr>
        <w:numPr>
          <w:ilvl w:val="0"/>
          <w:numId w:val="18"/>
        </w:numPr>
        <w:rPr>
          <w:lang w:val="en-US"/>
        </w:rPr>
      </w:pPr>
      <w:r w:rsidRPr="0030673B">
        <w:rPr>
          <w:lang w:val="en-US"/>
        </w:rPr>
        <w:t xml:space="preserve">Hsu, J., Huang, J., Fung, V., Robertson, N., Jimison, H., &amp; Frankel, R. (2005). Health information technology and physician-patient interactions: impact of computers on communication during outpatient primary care visits. Journal of the American Medical Informatics Association, 12(4), 474-480. </w:t>
      </w:r>
      <w:hyperlink r:id="rId47" w:history="1">
        <w:r w:rsidRPr="0030673B">
          <w:rPr>
            <w:rStyle w:val="Hyperlink"/>
            <w:lang w:val="en-US"/>
          </w:rPr>
          <w:t>https://doi.org/10.1197/jamia.M1741</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lastRenderedPageBreak/>
        <w:t>Hu, Y., Zhang, Z., Xie, J., &amp; Wang, G. (2017). The outpatient experience questionnaire of comprehensive public hospital in China: development, validity and reliability. International Journal for Quality in Health Care, 29(1), 40-46. https://doi.org/10.1093/intqhc/mzw133</w:t>
      </w:r>
    </w:p>
    <w:p w:rsidR="0030673B" w:rsidRPr="0030673B" w:rsidRDefault="0030673B" w:rsidP="0030673B">
      <w:pPr>
        <w:numPr>
          <w:ilvl w:val="0"/>
          <w:numId w:val="18"/>
        </w:numPr>
        <w:rPr>
          <w:lang w:val="en-US"/>
        </w:rPr>
      </w:pPr>
      <w:r w:rsidRPr="0030673B">
        <w:rPr>
          <w:lang w:val="en-US"/>
        </w:rPr>
        <w:t>Huang, J. A., Lai, C. S., Hu, J. S., &amp; Weng, R. H. (2014). The impact of market orientation on patient loyalty: the mediation of relationship quality. Service Business, 8(4), 499-515.</w:t>
      </w:r>
    </w:p>
    <w:p w:rsidR="0030673B" w:rsidRPr="0030673B" w:rsidRDefault="0030673B" w:rsidP="0030673B">
      <w:pPr>
        <w:numPr>
          <w:ilvl w:val="0"/>
          <w:numId w:val="18"/>
        </w:numPr>
      </w:pPr>
      <w:r w:rsidRPr="0030673B">
        <w:t>Hughes, S. (2003). The use of non-face-to-face communication to enhance preventive strategies. Journal of Cardiovascular Nursing, 18(4), 267-273.</w:t>
      </w:r>
    </w:p>
    <w:p w:rsidR="0030673B" w:rsidRPr="0030673B" w:rsidRDefault="0030673B" w:rsidP="0030673B">
      <w:pPr>
        <w:numPr>
          <w:ilvl w:val="0"/>
          <w:numId w:val="18"/>
        </w:numPr>
      </w:pPr>
      <w:r w:rsidRPr="0030673B">
        <w:t>Hussain, A., Asif, M., Jameel, A., &amp; Hwang, J. (2019). Measuring OPD patient satisfaction with different service delivery aspects at public hospitals in Pakistan. International journal of environmental research and public health, 16(13), 2340.</w:t>
      </w:r>
    </w:p>
    <w:p w:rsidR="0030673B" w:rsidRPr="0030673B" w:rsidRDefault="0030673B" w:rsidP="0030673B">
      <w:pPr>
        <w:numPr>
          <w:ilvl w:val="0"/>
          <w:numId w:val="18"/>
        </w:numPr>
      </w:pPr>
      <w:r w:rsidRPr="0030673B">
        <w:t>Hussain, A., Asif, M., Jameel, A., &amp; Hwang, J. (2019). Measuring OPD patient satisfaction with different service delivery aspects at public hospitals in Pakistan. International journal of environmental research and public health, 16(13), 2340.</w:t>
      </w:r>
    </w:p>
    <w:p w:rsidR="0030673B" w:rsidRPr="0030673B" w:rsidRDefault="0030673B" w:rsidP="0030673B">
      <w:pPr>
        <w:numPr>
          <w:ilvl w:val="0"/>
          <w:numId w:val="18"/>
        </w:numPr>
        <w:rPr>
          <w:lang w:val="en-US"/>
        </w:rPr>
      </w:pPr>
      <w:r w:rsidRPr="0030673B">
        <w:rPr>
          <w:lang w:val="en-US"/>
        </w:rPr>
        <w:t>Hussein, A. H. M. (2014). Relationship between nurses' and physicians' perceptions of organizational health and quality of patient care. Eastern Mediterranean Health Journal, 20(10), 634.</w:t>
      </w:r>
    </w:p>
    <w:p w:rsidR="0030673B" w:rsidRPr="0030673B" w:rsidRDefault="0030673B" w:rsidP="0030673B">
      <w:pPr>
        <w:numPr>
          <w:ilvl w:val="0"/>
          <w:numId w:val="18"/>
        </w:numPr>
      </w:pPr>
      <w:r w:rsidRPr="0030673B">
        <w:t>International Committee of Medical Journals Editor. (2010). Uniform Requirements for Manuscripts Submitted to Biomedical Journals: Writing and Editing for Biomedical Publication. Technical report, International Committee of Medical Journal Editors.</w:t>
      </w:r>
    </w:p>
    <w:p w:rsidR="0030673B" w:rsidRPr="0030673B" w:rsidRDefault="0030673B" w:rsidP="0030673B">
      <w:pPr>
        <w:numPr>
          <w:ilvl w:val="0"/>
          <w:numId w:val="18"/>
        </w:numPr>
      </w:pPr>
      <w:r w:rsidRPr="0030673B">
        <w:t>Isaac, S., &amp; Michael, W. B. (1995). Handbook in research and evaluation: Educational and Industrial Testing Services.</w:t>
      </w:r>
    </w:p>
    <w:p w:rsidR="0030673B" w:rsidRPr="0030673B" w:rsidRDefault="0030673B" w:rsidP="0030673B">
      <w:pPr>
        <w:numPr>
          <w:ilvl w:val="0"/>
          <w:numId w:val="18"/>
        </w:numPr>
        <w:rPr>
          <w:lang w:val="en-US"/>
        </w:rPr>
      </w:pPr>
      <w:r w:rsidRPr="0030673B">
        <w:rPr>
          <w:lang w:val="en-US"/>
        </w:rPr>
        <w:t xml:space="preserve">Jiang, S. (2019). How does online patient–provider communication heal? Examining the role of patient satisfaction and communication experience in China. Health Communication, 34(13), 1637-1644. </w:t>
      </w:r>
      <w:hyperlink r:id="rId48" w:history="1">
        <w:r w:rsidRPr="0030673B">
          <w:rPr>
            <w:rStyle w:val="Hyperlink"/>
            <w:lang w:val="en-US"/>
          </w:rPr>
          <w:t>https://doi.org/10.1080/10410236.2018.1517634</w:t>
        </w:r>
      </w:hyperlink>
      <w:r w:rsidRPr="0030673B">
        <w:rPr>
          <w:lang w:val="en-US"/>
        </w:rPr>
        <w:t xml:space="preserve"> </w:t>
      </w:r>
    </w:p>
    <w:p w:rsidR="0030673B" w:rsidRPr="0030673B" w:rsidRDefault="0030673B" w:rsidP="0030673B">
      <w:pPr>
        <w:numPr>
          <w:ilvl w:val="0"/>
          <w:numId w:val="18"/>
        </w:numPr>
      </w:pPr>
      <w:r w:rsidRPr="0030673B">
        <w:t>Jones, M. L. (2007). Using software to analyse qualitative data.</w:t>
      </w:r>
    </w:p>
    <w:p w:rsidR="0030673B" w:rsidRPr="0030673B" w:rsidRDefault="0030673B" w:rsidP="0030673B">
      <w:pPr>
        <w:numPr>
          <w:ilvl w:val="0"/>
          <w:numId w:val="18"/>
        </w:numPr>
        <w:rPr>
          <w:lang w:val="en-US"/>
        </w:rPr>
      </w:pPr>
      <w:proofErr w:type="spellStart"/>
      <w:r w:rsidRPr="0030673B">
        <w:rPr>
          <w:lang w:val="en-US"/>
        </w:rPr>
        <w:t>Junewicz</w:t>
      </w:r>
      <w:proofErr w:type="spellEnd"/>
      <w:r w:rsidRPr="0030673B">
        <w:rPr>
          <w:lang w:val="en-US"/>
        </w:rPr>
        <w:t xml:space="preserve">, A., &amp; </w:t>
      </w:r>
      <w:proofErr w:type="spellStart"/>
      <w:r w:rsidRPr="0030673B">
        <w:rPr>
          <w:lang w:val="en-US"/>
        </w:rPr>
        <w:t>Youngner</w:t>
      </w:r>
      <w:proofErr w:type="spellEnd"/>
      <w:r w:rsidRPr="0030673B">
        <w:rPr>
          <w:lang w:val="en-US"/>
        </w:rPr>
        <w:t>, S. J. (2015). Patient-satisfaction surveys on a scale of 0 to 10: improving health care, or leading it astray? The Hastings Center report, 45(3), 43–51. https://doi.org/10.1002/hast.453</w:t>
      </w:r>
    </w:p>
    <w:p w:rsidR="0030673B" w:rsidRPr="0030673B" w:rsidRDefault="0030673B" w:rsidP="0030673B">
      <w:pPr>
        <w:numPr>
          <w:ilvl w:val="0"/>
          <w:numId w:val="18"/>
        </w:numPr>
      </w:pPr>
      <w:r w:rsidRPr="0030673B">
        <w:t>Kadam, P., &amp; Bhalerao, S. (2010). Sample size calculation. International journal of Ayurveda research, 1(1), 55–57. https://doi.org/10.4103/0974-7788.59946</w:t>
      </w:r>
    </w:p>
    <w:p w:rsidR="0030673B" w:rsidRPr="0030673B" w:rsidRDefault="0030673B" w:rsidP="0030673B">
      <w:pPr>
        <w:numPr>
          <w:ilvl w:val="0"/>
          <w:numId w:val="18"/>
        </w:numPr>
      </w:pPr>
      <w:proofErr w:type="spellStart"/>
      <w:r w:rsidRPr="0030673B">
        <w:t>Kalton</w:t>
      </w:r>
      <w:proofErr w:type="spellEnd"/>
      <w:r w:rsidRPr="0030673B">
        <w:t>, G. (1983). Nonprobability sampling. In Introduction to survey sampling (pp. 91-93). SAGE Publications, Inc., https://dx.doi.org/10.4135/9781412984683.n13</w:t>
      </w:r>
    </w:p>
    <w:p w:rsidR="0030673B" w:rsidRPr="0030673B" w:rsidRDefault="0030673B" w:rsidP="0030673B">
      <w:pPr>
        <w:numPr>
          <w:ilvl w:val="0"/>
          <w:numId w:val="18"/>
        </w:numPr>
        <w:rPr>
          <w:lang w:val="en-US"/>
        </w:rPr>
      </w:pPr>
      <w:r w:rsidRPr="0030673B">
        <w:rPr>
          <w:lang w:val="en-US"/>
        </w:rPr>
        <w:lastRenderedPageBreak/>
        <w:t xml:space="preserve">Kamra, V., Singh, H., &amp; Kumar De, K. (2016). Factors affecting patient satisfaction: an exploratory study of quality management in the health-care sector. Total Quality Management &amp; Business Excellence, 27(9-10), 1013-1027. </w:t>
      </w:r>
      <w:hyperlink r:id="rId49" w:history="1">
        <w:r w:rsidRPr="0030673B">
          <w:rPr>
            <w:rStyle w:val="Hyperlink"/>
            <w:lang w:val="en-US"/>
          </w:rPr>
          <w:t>https://doi.org/10.1080/14783363.2015.1057488</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Kartika IR, </w:t>
      </w:r>
      <w:proofErr w:type="spellStart"/>
      <w:r w:rsidRPr="0030673B">
        <w:rPr>
          <w:lang w:val="en-US"/>
        </w:rPr>
        <w:t>Hariyati</w:t>
      </w:r>
      <w:proofErr w:type="spellEnd"/>
      <w:r w:rsidRPr="0030673B">
        <w:rPr>
          <w:lang w:val="en-US"/>
        </w:rPr>
        <w:t xml:space="preserve"> TS. </w:t>
      </w:r>
      <w:proofErr w:type="spellStart"/>
      <w:r w:rsidRPr="0030673B">
        <w:rPr>
          <w:lang w:val="en-US"/>
        </w:rPr>
        <w:t>Nelwati</w:t>
      </w:r>
      <w:proofErr w:type="spellEnd"/>
      <w:r w:rsidRPr="0030673B">
        <w:rPr>
          <w:lang w:val="en-US"/>
        </w:rPr>
        <w:t xml:space="preserve">. Nurses–patients interaction model and outpatients’ satisfaction on nursing care. Nurse Care Open </w:t>
      </w:r>
      <w:proofErr w:type="spellStart"/>
      <w:r w:rsidRPr="0030673B">
        <w:rPr>
          <w:lang w:val="en-US"/>
        </w:rPr>
        <w:t>Acces</w:t>
      </w:r>
      <w:proofErr w:type="spellEnd"/>
      <w:r w:rsidRPr="0030673B">
        <w:rPr>
          <w:lang w:val="en-US"/>
        </w:rPr>
        <w:t xml:space="preserve"> J. 2018;5(2):70-6. </w:t>
      </w:r>
    </w:p>
    <w:p w:rsidR="0030673B" w:rsidRPr="0030673B" w:rsidRDefault="0030673B" w:rsidP="0030673B">
      <w:pPr>
        <w:numPr>
          <w:ilvl w:val="0"/>
          <w:numId w:val="18"/>
        </w:numPr>
      </w:pPr>
      <w:r w:rsidRPr="0030673B">
        <w:t>Kaur, S. P. (2018). Variables in research. Indian Journal of Research and Reports in Medical Sciences, 3(4), 36-38.</w:t>
      </w:r>
    </w:p>
    <w:p w:rsidR="0030673B" w:rsidRPr="0030673B" w:rsidRDefault="0030673B" w:rsidP="0030673B">
      <w:pPr>
        <w:numPr>
          <w:ilvl w:val="0"/>
          <w:numId w:val="18"/>
        </w:numPr>
        <w:rPr>
          <w:lang w:val="en-US"/>
        </w:rPr>
      </w:pPr>
      <w:r w:rsidRPr="0030673B">
        <w:rPr>
          <w:lang w:val="en-US"/>
        </w:rPr>
        <w:t>Khalifa, M. (2018). Barriers to health information systems and electronic medical records implementation. A field study of Saudi Arabian hospitals. Procedia Computer Science, 21, 335-342.</w:t>
      </w:r>
    </w:p>
    <w:p w:rsidR="0030673B" w:rsidRPr="0030673B" w:rsidRDefault="0030673B" w:rsidP="0030673B">
      <w:pPr>
        <w:numPr>
          <w:ilvl w:val="0"/>
          <w:numId w:val="18"/>
        </w:numPr>
      </w:pPr>
      <w:r w:rsidRPr="0030673B">
        <w:t>Kish, L. (1965). Survey Sampling. New York: Wiley.</w:t>
      </w:r>
    </w:p>
    <w:p w:rsidR="0030673B" w:rsidRPr="0030673B" w:rsidRDefault="0030673B" w:rsidP="0030673B">
      <w:pPr>
        <w:numPr>
          <w:ilvl w:val="0"/>
          <w:numId w:val="18"/>
        </w:numPr>
        <w:rPr>
          <w:lang w:val="en-US"/>
        </w:rPr>
      </w:pPr>
      <w:r w:rsidRPr="0030673B">
        <w:rPr>
          <w:lang w:val="en-US"/>
        </w:rPr>
        <w:t>Kitson, A., Marshall, A., Bassett, K., &amp; Zeitz, K. (2018). What are the core elements of patient‐centered care? A narrative review and synthesis of the literature from health policy, medicine and nursing. Journal of advanced nursing, 69(1), 4-15.</w:t>
      </w:r>
    </w:p>
    <w:p w:rsidR="0030673B" w:rsidRPr="0030673B" w:rsidRDefault="0030673B" w:rsidP="0030673B">
      <w:pPr>
        <w:numPr>
          <w:ilvl w:val="0"/>
          <w:numId w:val="18"/>
        </w:numPr>
        <w:rPr>
          <w:lang w:val="en-US"/>
        </w:rPr>
      </w:pPr>
      <w:proofErr w:type="spellStart"/>
      <w:r w:rsidRPr="0030673B">
        <w:t>Köberich</w:t>
      </w:r>
      <w:proofErr w:type="spellEnd"/>
      <w:r w:rsidRPr="0030673B">
        <w:t xml:space="preserve">, S., Feuchtinger, J., &amp; Farin, E. (2016). Factors influencing hospitalized patients’ perception of individualized nursing care: a cross-sectional study. BMC nursing, 15(1), 1-11. </w:t>
      </w:r>
      <w:r w:rsidRPr="0030673B">
        <w:rPr>
          <w:lang w:val="en-US"/>
        </w:rPr>
        <w:t>https://doi.org/10.1186/s12912-016-0137-7</w:t>
      </w:r>
    </w:p>
    <w:p w:rsidR="0030673B" w:rsidRPr="0030673B" w:rsidRDefault="0030673B" w:rsidP="0030673B">
      <w:pPr>
        <w:numPr>
          <w:ilvl w:val="0"/>
          <w:numId w:val="18"/>
        </w:numPr>
      </w:pPr>
      <w:r w:rsidRPr="0030673B">
        <w:t>Krick, T., Huter, K., Seibert, K., Domhoff, D., &amp; Wolf-Ostermann, K. (2020). Measuring the effectiveness of digital nursing technologies: development of a comprehensive digital nursing technology outcome framework based on a scoping review. BMC health services research, 20(1), 1-17.</w:t>
      </w:r>
    </w:p>
    <w:p w:rsidR="0030673B" w:rsidRPr="0030673B" w:rsidRDefault="0030673B" w:rsidP="0030673B">
      <w:pPr>
        <w:numPr>
          <w:ilvl w:val="0"/>
          <w:numId w:val="18"/>
        </w:numPr>
        <w:rPr>
          <w:lang w:val="en-US"/>
        </w:rPr>
      </w:pPr>
      <w:r w:rsidRPr="0030673B">
        <w:rPr>
          <w:lang w:val="en-US"/>
        </w:rPr>
        <w:t>Kruse, C. S., &amp; Beane, A. (2018). Health information technology continues to show positive effect on medical outcomes: systematic review. Journal of medical Internet research, 20(2), e8793.</w:t>
      </w:r>
    </w:p>
    <w:p w:rsidR="0030673B" w:rsidRPr="0030673B" w:rsidRDefault="0030673B" w:rsidP="0030673B">
      <w:pPr>
        <w:numPr>
          <w:ilvl w:val="0"/>
          <w:numId w:val="18"/>
        </w:numPr>
        <w:rPr>
          <w:lang w:val="en-US"/>
        </w:rPr>
      </w:pPr>
      <w:r w:rsidRPr="0030673B">
        <w:t>Kuipers, S. J., Cramm, J. M., &amp; Nieboer, A. P. (2019). The importance of patient-</w:t>
      </w:r>
      <w:proofErr w:type="spellStart"/>
      <w:r w:rsidRPr="0030673B">
        <w:t>centered</w:t>
      </w:r>
      <w:proofErr w:type="spellEnd"/>
      <w:r w:rsidRPr="0030673B">
        <w:t xml:space="preserve"> care and co-creation of care for satisfaction with care and physical and social well-being of patients with multi-morbidity in the primary care setting. BMC Health Services Research, 19(1), 1-9. </w:t>
      </w:r>
      <w:hyperlink r:id="rId50" w:history="1">
        <w:r w:rsidRPr="0030673B">
          <w:rPr>
            <w:rStyle w:val="Hyperlink"/>
            <w:lang w:val="en-US"/>
          </w:rPr>
          <w:t>https://doi.org/10.1186/s12913-018-3818-y</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Kupfer, J. M., &amp; Bond, E. U. (2019). Patient satisfaction and patient-centered care: necessary but not equal. Jama, 308(2), 139-140.</w:t>
      </w:r>
    </w:p>
    <w:p w:rsidR="0030673B" w:rsidRPr="0030673B" w:rsidRDefault="0030673B" w:rsidP="0030673B">
      <w:pPr>
        <w:numPr>
          <w:ilvl w:val="0"/>
          <w:numId w:val="18"/>
        </w:numPr>
        <w:rPr>
          <w:lang w:val="en-US"/>
        </w:rPr>
      </w:pPr>
      <w:r w:rsidRPr="0030673B">
        <w:rPr>
          <w:lang w:val="en-US"/>
        </w:rPr>
        <w:t>Larsen, D. L., Attkisson, C. C., Hargreaves, W. A., &amp; Nguyen, T. D. (1979). Assessment of client/patient satisfaction: development of a general scale. Evaluation and program planning, 2(3), 197-207.</w:t>
      </w:r>
    </w:p>
    <w:p w:rsidR="0030673B" w:rsidRPr="0030673B" w:rsidRDefault="0030673B" w:rsidP="0030673B">
      <w:pPr>
        <w:numPr>
          <w:ilvl w:val="0"/>
          <w:numId w:val="18"/>
        </w:numPr>
      </w:pPr>
      <w:r w:rsidRPr="0030673B">
        <w:lastRenderedPageBreak/>
        <w:t xml:space="preserve">Larsen, S., Osnes, M., </w:t>
      </w:r>
      <w:proofErr w:type="spellStart"/>
      <w:r w:rsidRPr="0030673B">
        <w:t>Eidsaunet</w:t>
      </w:r>
      <w:proofErr w:type="spellEnd"/>
      <w:r w:rsidRPr="0030673B">
        <w:t>, W., &amp; Sandvik, L. (1985). Factors influencing the sample size, exemplified by studies on gastroduodenal tolerability of drugs. Scandinavian Journal of Gastroenterology, 20(4), 395-400.</w:t>
      </w:r>
    </w:p>
    <w:p w:rsidR="0030673B" w:rsidRPr="0030673B" w:rsidRDefault="0030673B" w:rsidP="0030673B">
      <w:pPr>
        <w:numPr>
          <w:ilvl w:val="0"/>
          <w:numId w:val="18"/>
        </w:numPr>
        <w:rPr>
          <w:lang w:val="en-US"/>
        </w:rPr>
      </w:pPr>
      <w:r w:rsidRPr="0030673B">
        <w:rPr>
          <w:lang w:val="en-US"/>
        </w:rPr>
        <w:t xml:space="preserve">Larson, E., Sharma, J., Bohren, M. A., &amp; </w:t>
      </w:r>
      <w:proofErr w:type="spellStart"/>
      <w:r w:rsidRPr="0030673B">
        <w:rPr>
          <w:lang w:val="en-US"/>
        </w:rPr>
        <w:t>Tunçalp</w:t>
      </w:r>
      <w:proofErr w:type="spellEnd"/>
      <w:r w:rsidRPr="0030673B">
        <w:rPr>
          <w:lang w:val="en-US"/>
        </w:rPr>
        <w:t xml:space="preserve">, Ö. (2019). When the patient is the expert: measuring patient experience and satisfaction with care. Bulletin of the World Health Organization, 97(8), 563–569. </w:t>
      </w:r>
      <w:hyperlink r:id="rId51" w:history="1">
        <w:r w:rsidRPr="0030673B">
          <w:rPr>
            <w:rStyle w:val="Hyperlink"/>
            <w:lang w:val="en-US"/>
          </w:rPr>
          <w:t>https://doi.org/10.2471/BLT.18.225201</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Lateef F. Patient expectations and the paradigm shift of care in emergency medicine. J Emerg Trauma Shock. 2011 Apr;4(2):163-7. </w:t>
      </w:r>
      <w:proofErr w:type="spellStart"/>
      <w:r w:rsidRPr="0030673B">
        <w:rPr>
          <w:lang w:val="en-US"/>
        </w:rPr>
        <w:t>doi</w:t>
      </w:r>
      <w:proofErr w:type="spellEnd"/>
      <w:r w:rsidRPr="0030673B">
        <w:rPr>
          <w:lang w:val="en-US"/>
        </w:rPr>
        <w:t xml:space="preserve">: 10.4103/0974-2700.82199. PMID: 21769199; PMCID: PMC3132352. </w:t>
      </w:r>
    </w:p>
    <w:p w:rsidR="0030673B" w:rsidRPr="0030673B" w:rsidRDefault="0030673B" w:rsidP="0030673B">
      <w:pPr>
        <w:numPr>
          <w:ilvl w:val="0"/>
          <w:numId w:val="18"/>
        </w:numPr>
        <w:rPr>
          <w:lang w:val="en-US"/>
        </w:rPr>
      </w:pPr>
      <w:r w:rsidRPr="0030673B">
        <w:rPr>
          <w:lang w:val="en-US"/>
        </w:rPr>
        <w:t xml:space="preserve">Lee, A. V., Moriarty, J. P., Borgstrom, C., &amp; Horwitz, L. I. (2010). What can we learn from patient dissatisfaction? An analysis of dissatisfying events at an academic medical center. Journal of hospital medicine, 5(9), 514–520. </w:t>
      </w:r>
      <w:hyperlink r:id="rId52" w:history="1">
        <w:r w:rsidRPr="0030673B">
          <w:rPr>
            <w:rStyle w:val="Hyperlink"/>
            <w:lang w:val="en-US"/>
          </w:rPr>
          <w:t>https://doi.org/10.1002/jhm.861</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Lor, M., Crooks, N., &amp; Tluczek, A. (2016). A proposed model of person-, family-, and culture-centered nursing care. </w:t>
      </w:r>
      <w:r w:rsidRPr="0030673B">
        <w:rPr>
          <w:i/>
          <w:iCs/>
          <w:lang w:val="en-US"/>
        </w:rPr>
        <w:t>Nursing Outlook</w:t>
      </w:r>
      <w:r w:rsidRPr="0030673B">
        <w:rPr>
          <w:lang w:val="en-US"/>
        </w:rPr>
        <w:t>, </w:t>
      </w:r>
      <w:r w:rsidRPr="0030673B">
        <w:rPr>
          <w:b/>
          <w:bCs/>
          <w:lang w:val="en-US"/>
        </w:rPr>
        <w:t>64</w:t>
      </w:r>
      <w:r w:rsidRPr="0030673B">
        <w:rPr>
          <w:lang w:val="en-US"/>
        </w:rPr>
        <w:t>(4), 352–366. </w:t>
      </w:r>
      <w:hyperlink r:id="rId53" w:history="1">
        <w:r w:rsidRPr="0030673B">
          <w:rPr>
            <w:rStyle w:val="Hyperlink"/>
            <w:lang w:val="en-US"/>
          </w:rPr>
          <w:t>https://doi.org/10.1016/j.outlook.2016.02.006</w:t>
        </w:r>
      </w:hyperlink>
    </w:p>
    <w:p w:rsidR="0030673B" w:rsidRPr="0030673B" w:rsidRDefault="0030673B" w:rsidP="0030673B">
      <w:pPr>
        <w:numPr>
          <w:ilvl w:val="0"/>
          <w:numId w:val="18"/>
        </w:numPr>
        <w:rPr>
          <w:lang w:val="en-US"/>
        </w:rPr>
      </w:pPr>
      <w:r w:rsidRPr="0030673B">
        <w:rPr>
          <w:lang w:val="en-US"/>
        </w:rPr>
        <w:t xml:space="preserve">Lu, C., Hu, Y., Xie, J., Fu, Q., Leigh, I., Governor, S., &amp; Wang, G. (2018). The use of mobile health applications to improve patient experience: cross-sectional study in Chinese public hospitals. JMIR mHealth and </w:t>
      </w:r>
      <w:proofErr w:type="spellStart"/>
      <w:r w:rsidRPr="0030673B">
        <w:rPr>
          <w:lang w:val="en-US"/>
        </w:rPr>
        <w:t>uHealth</w:t>
      </w:r>
      <w:proofErr w:type="spellEnd"/>
      <w:r w:rsidRPr="0030673B">
        <w:rPr>
          <w:lang w:val="en-US"/>
        </w:rPr>
        <w:t xml:space="preserve">, 6(5), e9145. </w:t>
      </w:r>
      <w:hyperlink r:id="rId54" w:history="1">
        <w:r w:rsidRPr="0030673B">
          <w:rPr>
            <w:rStyle w:val="Hyperlink"/>
            <w:lang w:val="en-US"/>
          </w:rPr>
          <w:t>https://doi.org/10.2196/mhealth.9145</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Luxford, K., Safran, D. G., &amp; Delbanco, T. (2011). Promoting patient-centered care: A qualitative study of facilitators and barriers in healthcare organizations with a reputation for improving patient experience. International Journal for Quality in Health Care, 23(5), 510–515.</w:t>
      </w:r>
    </w:p>
    <w:p w:rsidR="0030673B" w:rsidRPr="0030673B" w:rsidRDefault="0030673B" w:rsidP="0030673B">
      <w:pPr>
        <w:numPr>
          <w:ilvl w:val="0"/>
          <w:numId w:val="18"/>
        </w:numPr>
      </w:pPr>
      <w:r w:rsidRPr="0030673B">
        <w:t>Mackinnon D. P. (2011). Integrating Mediators and Moderators in Research Design. Research on social work practice, 21(6), 675–681. https://doi.org/10.1177/1049731511414148</w:t>
      </w:r>
    </w:p>
    <w:p w:rsidR="0030673B" w:rsidRPr="0030673B" w:rsidRDefault="0030673B" w:rsidP="0030673B">
      <w:pPr>
        <w:numPr>
          <w:ilvl w:val="0"/>
          <w:numId w:val="18"/>
        </w:numPr>
        <w:rPr>
          <w:lang w:val="en-US"/>
        </w:rPr>
      </w:pPr>
      <w:r w:rsidRPr="0030673B">
        <w:rPr>
          <w:lang w:val="en-US"/>
        </w:rPr>
        <w:t xml:space="preserve">Mahdavi-Roshan M, Balou HA, </w:t>
      </w:r>
      <w:proofErr w:type="spellStart"/>
      <w:r w:rsidRPr="0030673B">
        <w:rPr>
          <w:lang w:val="en-US"/>
        </w:rPr>
        <w:t>Pourabdollahy</w:t>
      </w:r>
      <w:proofErr w:type="spellEnd"/>
      <w:r w:rsidRPr="0030673B">
        <w:rPr>
          <w:lang w:val="en-US"/>
        </w:rPr>
        <w:t xml:space="preserve"> S, </w:t>
      </w:r>
      <w:proofErr w:type="spellStart"/>
      <w:r w:rsidRPr="0030673B">
        <w:rPr>
          <w:lang w:val="en-US"/>
        </w:rPr>
        <w:t>Vakilpour</w:t>
      </w:r>
      <w:proofErr w:type="spellEnd"/>
      <w:r w:rsidRPr="0030673B">
        <w:rPr>
          <w:lang w:val="en-US"/>
        </w:rPr>
        <w:t xml:space="preserve"> A, Salari A, Ghazi-Hashemi P, Ashouri A. Hospitals’ Food Services Quality and Factors Associated with Patients’ Satisfaction in University Hospitals in the North of Iran. Hospital Topics. 2022 Jan 5:1-0. </w:t>
      </w:r>
    </w:p>
    <w:p w:rsidR="0030673B" w:rsidRPr="0030673B" w:rsidRDefault="0030673B" w:rsidP="0030673B">
      <w:pPr>
        <w:numPr>
          <w:ilvl w:val="0"/>
          <w:numId w:val="18"/>
        </w:numPr>
        <w:rPr>
          <w:lang w:val="en-US"/>
        </w:rPr>
      </w:pPr>
      <w:r w:rsidRPr="0030673B">
        <w:rPr>
          <w:lang w:val="en-US"/>
        </w:rPr>
        <w:t xml:space="preserve">Manzoor F, Wei L, Hussain A, Asif M, Shah SI. Patient satisfaction with health care services; an application of physician’s behavior as a moderator. International journal of environmental research and public health. 2019 Jan;16(18):3318. </w:t>
      </w:r>
    </w:p>
    <w:p w:rsidR="0030673B" w:rsidRPr="0030673B" w:rsidRDefault="0030673B" w:rsidP="0030673B">
      <w:pPr>
        <w:numPr>
          <w:ilvl w:val="0"/>
          <w:numId w:val="18"/>
        </w:numPr>
        <w:rPr>
          <w:lang w:val="en-US"/>
        </w:rPr>
      </w:pPr>
      <w:r w:rsidRPr="0030673B">
        <w:rPr>
          <w:lang w:val="en-US"/>
        </w:rPr>
        <w:t>Marley, K. A., Collier, D. A., &amp; Meyer Goldstein, S. (2004). The role of clinical and process quality in achieving patient satisfaction in hospitals. Decision Sciences, 35(3), 349-369.</w:t>
      </w:r>
    </w:p>
    <w:p w:rsidR="0030673B" w:rsidRPr="0030673B" w:rsidRDefault="0030673B" w:rsidP="0030673B">
      <w:pPr>
        <w:numPr>
          <w:ilvl w:val="0"/>
          <w:numId w:val="18"/>
        </w:numPr>
        <w:rPr>
          <w:lang w:val="en-US"/>
        </w:rPr>
      </w:pPr>
      <w:r w:rsidRPr="0030673B">
        <w:rPr>
          <w:lang w:val="en-US"/>
        </w:rPr>
        <w:t>Marshall, G. N., &amp; Hays, R. D. (1994). The patient satisfaction questionnaire short-form (PSQ-18) (Vol. 7865). Santa Monica, CA: Rand.</w:t>
      </w:r>
    </w:p>
    <w:p w:rsidR="0030673B" w:rsidRPr="0030673B" w:rsidRDefault="0030673B" w:rsidP="0030673B">
      <w:pPr>
        <w:numPr>
          <w:ilvl w:val="0"/>
          <w:numId w:val="18"/>
        </w:numPr>
      </w:pPr>
      <w:r w:rsidRPr="0030673B">
        <w:lastRenderedPageBreak/>
        <w:t xml:space="preserve">Marwaha, J. S., Landman, A. B., Brat, G. A., Dunn, T., &amp; Gordon, W. J. (2022). Deploying digital health tools within large, complex health systems: key considerations for adoption and implementation. </w:t>
      </w:r>
      <w:proofErr w:type="spellStart"/>
      <w:r w:rsidRPr="0030673B">
        <w:t>npj</w:t>
      </w:r>
      <w:proofErr w:type="spellEnd"/>
      <w:r w:rsidRPr="0030673B">
        <w:t xml:space="preserve"> Digital Medicine, 5(1), 1-7. https://doi.org/10.1038/s41746-022-00557-1</w:t>
      </w:r>
    </w:p>
    <w:p w:rsidR="0030673B" w:rsidRPr="0030673B" w:rsidRDefault="0030673B" w:rsidP="0030673B">
      <w:pPr>
        <w:numPr>
          <w:ilvl w:val="0"/>
          <w:numId w:val="18"/>
        </w:numPr>
        <w:rPr>
          <w:lang w:val="en-US"/>
        </w:rPr>
      </w:pPr>
      <w:r w:rsidRPr="0030673B">
        <w:rPr>
          <w:lang w:val="en-US"/>
        </w:rPr>
        <w:t xml:space="preserve">McCullough, J. S., Casey, M., </w:t>
      </w:r>
      <w:proofErr w:type="spellStart"/>
      <w:r w:rsidRPr="0030673B">
        <w:rPr>
          <w:lang w:val="en-US"/>
        </w:rPr>
        <w:t>Moscovice</w:t>
      </w:r>
      <w:proofErr w:type="spellEnd"/>
      <w:r w:rsidRPr="0030673B">
        <w:rPr>
          <w:lang w:val="en-US"/>
        </w:rPr>
        <w:t>, I., &amp; Prasad, S. (2010). The effect of health information technology on quality in US hospitals. Health affairs, 29(4), 647-654.</w:t>
      </w:r>
    </w:p>
    <w:p w:rsidR="0030673B" w:rsidRPr="0030673B" w:rsidRDefault="0030673B" w:rsidP="0030673B">
      <w:pPr>
        <w:numPr>
          <w:ilvl w:val="0"/>
          <w:numId w:val="18"/>
        </w:numPr>
      </w:pPr>
      <w:r w:rsidRPr="0030673B">
        <w:t xml:space="preserve">Melese, T., Gebrehiwot, Y., </w:t>
      </w:r>
      <w:proofErr w:type="spellStart"/>
      <w:r w:rsidRPr="0030673B">
        <w:t>Bisetegne</w:t>
      </w:r>
      <w:proofErr w:type="spellEnd"/>
      <w:r w:rsidRPr="0030673B">
        <w:t xml:space="preserve">, D., &amp; Habte, D. (2014). Assessment of client satisfaction in </w:t>
      </w:r>
      <w:proofErr w:type="spellStart"/>
      <w:r w:rsidRPr="0030673B">
        <w:t>labor</w:t>
      </w:r>
      <w:proofErr w:type="spellEnd"/>
      <w:r w:rsidRPr="0030673B">
        <w:t xml:space="preserve"> and delivery services at a maternity referral hospital in Ethiopia. The Pan African Medical Journal, 17.</w:t>
      </w:r>
    </w:p>
    <w:p w:rsidR="0030673B" w:rsidRPr="0030673B" w:rsidRDefault="0030673B" w:rsidP="0030673B">
      <w:pPr>
        <w:numPr>
          <w:ilvl w:val="0"/>
          <w:numId w:val="18"/>
        </w:numPr>
      </w:pPr>
      <w:r w:rsidRPr="0030673B">
        <w:t xml:space="preserve">Merkouris, A., Andreadou, A., Athini, E., </w:t>
      </w:r>
      <w:proofErr w:type="spellStart"/>
      <w:r w:rsidRPr="0030673B">
        <w:t>Hatzimbalasi</w:t>
      </w:r>
      <w:proofErr w:type="spellEnd"/>
      <w:r w:rsidRPr="0030673B">
        <w:t xml:space="preserve">, M., </w:t>
      </w:r>
      <w:proofErr w:type="spellStart"/>
      <w:r w:rsidRPr="0030673B">
        <w:t>Rovithis</w:t>
      </w:r>
      <w:proofErr w:type="spellEnd"/>
      <w:r w:rsidRPr="0030673B">
        <w:t>, M., &amp; Papastavrou, E. (2018). Assessment of patient satisfaction in public hospitals in Cyprus: a descriptive study. Health science journal, 7(1), 28.</w:t>
      </w:r>
    </w:p>
    <w:p w:rsidR="0030673B" w:rsidRPr="0030673B" w:rsidRDefault="0030673B" w:rsidP="0030673B">
      <w:pPr>
        <w:numPr>
          <w:ilvl w:val="0"/>
          <w:numId w:val="18"/>
        </w:numPr>
        <w:rPr>
          <w:lang w:val="en-US"/>
        </w:rPr>
      </w:pPr>
      <w:r w:rsidRPr="0030673B">
        <w:rPr>
          <w:lang w:val="en-US"/>
        </w:rPr>
        <w:t xml:space="preserve">Miladi, M. N., Hasan, A. R., Al </w:t>
      </w:r>
      <w:proofErr w:type="spellStart"/>
      <w:r w:rsidRPr="0030673B">
        <w:rPr>
          <w:lang w:val="en-US"/>
        </w:rPr>
        <w:t>Ghobiri</w:t>
      </w:r>
      <w:proofErr w:type="spellEnd"/>
      <w:r w:rsidRPr="0030673B">
        <w:rPr>
          <w:lang w:val="en-US"/>
        </w:rPr>
        <w:t xml:space="preserve">, M., Nasr, O., &amp; </w:t>
      </w:r>
      <w:proofErr w:type="spellStart"/>
      <w:r w:rsidRPr="0030673B">
        <w:rPr>
          <w:lang w:val="en-US"/>
        </w:rPr>
        <w:t>Abelmotlab</w:t>
      </w:r>
      <w:proofErr w:type="spellEnd"/>
      <w:r w:rsidRPr="0030673B">
        <w:rPr>
          <w:lang w:val="en-US"/>
        </w:rPr>
        <w:t xml:space="preserve">, A. (2021). Towards an Internet of Things for Health Centers in the Southern Saudi Arabia Region. </w:t>
      </w:r>
      <w:proofErr w:type="spellStart"/>
      <w:r w:rsidRPr="0030673B">
        <w:rPr>
          <w:lang w:val="en-US"/>
        </w:rPr>
        <w:t>CommIT</w:t>
      </w:r>
      <w:proofErr w:type="spellEnd"/>
      <w:r w:rsidRPr="0030673B">
        <w:rPr>
          <w:lang w:val="en-US"/>
        </w:rPr>
        <w:t xml:space="preserve"> (Communication and Information Technology) Journal, 15(1), 1-7.</w:t>
      </w:r>
    </w:p>
    <w:p w:rsidR="0030673B" w:rsidRPr="0030673B" w:rsidRDefault="0030673B" w:rsidP="0030673B">
      <w:pPr>
        <w:numPr>
          <w:ilvl w:val="0"/>
          <w:numId w:val="18"/>
        </w:numPr>
        <w:rPr>
          <w:lang w:val="en-US"/>
        </w:rPr>
      </w:pPr>
      <w:proofErr w:type="spellStart"/>
      <w:r w:rsidRPr="0030673B">
        <w:rPr>
          <w:lang w:val="en-US"/>
        </w:rPr>
        <w:t>Mobasheri</w:t>
      </w:r>
      <w:proofErr w:type="spellEnd"/>
      <w:r w:rsidRPr="0030673B">
        <w:rPr>
          <w:lang w:val="en-US"/>
        </w:rPr>
        <w:t xml:space="preserve">, M. H., King, D., Johnston, M., Gautama, S., Purkayastha, S., &amp; Darzi, A. (2015). The ownership and clinical use of smartphones by doctors and nurses in the UK: a </w:t>
      </w:r>
      <w:proofErr w:type="spellStart"/>
      <w:r w:rsidRPr="0030673B">
        <w:rPr>
          <w:lang w:val="en-US"/>
        </w:rPr>
        <w:t>multicentre</w:t>
      </w:r>
      <w:proofErr w:type="spellEnd"/>
      <w:r w:rsidRPr="0030673B">
        <w:rPr>
          <w:lang w:val="en-US"/>
        </w:rPr>
        <w:t xml:space="preserve"> survey study. BMJ </w:t>
      </w:r>
      <w:proofErr w:type="spellStart"/>
      <w:r w:rsidRPr="0030673B">
        <w:rPr>
          <w:lang w:val="en-US"/>
        </w:rPr>
        <w:t>Innov</w:t>
      </w:r>
      <w:proofErr w:type="spellEnd"/>
      <w:r w:rsidRPr="0030673B">
        <w:rPr>
          <w:lang w:val="en-US"/>
        </w:rPr>
        <w:t>, 1(4), 174-181.</w:t>
      </w:r>
    </w:p>
    <w:p w:rsidR="0030673B" w:rsidRPr="0030673B" w:rsidRDefault="0030673B" w:rsidP="0030673B">
      <w:pPr>
        <w:numPr>
          <w:ilvl w:val="0"/>
          <w:numId w:val="18"/>
        </w:numPr>
      </w:pPr>
      <w:r w:rsidRPr="0030673B">
        <w:t>Mohd, A., &amp; Chakravarty, A. (2014). Patient satisfaction with services of the outpatient department. Medical Journal Armed Forces India, 70(3), 237-242.</w:t>
      </w:r>
    </w:p>
    <w:p w:rsidR="0030673B" w:rsidRPr="0030673B" w:rsidRDefault="0030673B" w:rsidP="0030673B">
      <w:pPr>
        <w:numPr>
          <w:ilvl w:val="0"/>
          <w:numId w:val="18"/>
        </w:numPr>
        <w:rPr>
          <w:lang w:val="en-US"/>
        </w:rPr>
      </w:pPr>
      <w:r w:rsidRPr="0030673B">
        <w:rPr>
          <w:lang w:val="en-US"/>
        </w:rPr>
        <w:t xml:space="preserve">Molla M, Sisay W, </w:t>
      </w:r>
      <w:proofErr w:type="spellStart"/>
      <w:r w:rsidRPr="0030673B">
        <w:rPr>
          <w:lang w:val="en-US"/>
        </w:rPr>
        <w:t>Andargie</w:t>
      </w:r>
      <w:proofErr w:type="spellEnd"/>
      <w:r w:rsidRPr="0030673B">
        <w:rPr>
          <w:lang w:val="en-US"/>
        </w:rPr>
        <w:t xml:space="preserve"> Y, </w:t>
      </w:r>
      <w:proofErr w:type="spellStart"/>
      <w:r w:rsidRPr="0030673B">
        <w:rPr>
          <w:lang w:val="en-US"/>
        </w:rPr>
        <w:t>Kefale</w:t>
      </w:r>
      <w:proofErr w:type="spellEnd"/>
      <w:r w:rsidRPr="0030673B">
        <w:rPr>
          <w:lang w:val="en-US"/>
        </w:rPr>
        <w:t xml:space="preserve"> B, Singh P. Patients’ satisfaction with outpatient pharmacy services and associated factors in Debre Tabor comprehensive specialized hospital, Northwest Ethiopia: A cross-sectional study. </w:t>
      </w:r>
      <w:proofErr w:type="spellStart"/>
      <w:r w:rsidRPr="0030673B">
        <w:rPr>
          <w:lang w:val="en-US"/>
        </w:rPr>
        <w:t>Plos</w:t>
      </w:r>
      <w:proofErr w:type="spellEnd"/>
      <w:r w:rsidRPr="0030673B">
        <w:rPr>
          <w:lang w:val="en-US"/>
        </w:rPr>
        <w:t xml:space="preserve"> one. 2022 Jan 5;17(1): e0262300. </w:t>
      </w:r>
    </w:p>
    <w:p w:rsidR="0030673B" w:rsidRPr="0030673B" w:rsidRDefault="0030673B" w:rsidP="0030673B">
      <w:pPr>
        <w:numPr>
          <w:ilvl w:val="0"/>
          <w:numId w:val="18"/>
        </w:numPr>
        <w:rPr>
          <w:lang w:val="en-US"/>
        </w:rPr>
      </w:pPr>
      <w:r w:rsidRPr="0030673B">
        <w:rPr>
          <w:lang w:val="en-US"/>
        </w:rPr>
        <w:t xml:space="preserve">Morris, B. J., Richards, J. E., Archer, K. R., Lasater, M., Rabalais, D., Sethi, M. K., &amp; Jahangir, A. A. (2014). Improving patient satisfaction in the </w:t>
      </w:r>
      <w:proofErr w:type="spellStart"/>
      <w:r w:rsidRPr="0030673B">
        <w:rPr>
          <w:lang w:val="en-US"/>
        </w:rPr>
        <w:t>orthopaedic</w:t>
      </w:r>
      <w:proofErr w:type="spellEnd"/>
      <w:r w:rsidRPr="0030673B">
        <w:rPr>
          <w:lang w:val="en-US"/>
        </w:rPr>
        <w:t xml:space="preserve"> trauma population. Journal of </w:t>
      </w:r>
      <w:proofErr w:type="spellStart"/>
      <w:r w:rsidRPr="0030673B">
        <w:rPr>
          <w:lang w:val="en-US"/>
        </w:rPr>
        <w:t>orthopaedic</w:t>
      </w:r>
      <w:proofErr w:type="spellEnd"/>
      <w:r w:rsidRPr="0030673B">
        <w:rPr>
          <w:lang w:val="en-US"/>
        </w:rPr>
        <w:t xml:space="preserve"> trauma, 28(4), e80-e84.</w:t>
      </w:r>
    </w:p>
    <w:p w:rsidR="0030673B" w:rsidRPr="0030673B" w:rsidRDefault="0030673B" w:rsidP="0030673B">
      <w:pPr>
        <w:numPr>
          <w:ilvl w:val="0"/>
          <w:numId w:val="18"/>
        </w:numPr>
        <w:rPr>
          <w:lang w:val="en-US"/>
        </w:rPr>
      </w:pPr>
      <w:proofErr w:type="spellStart"/>
      <w:r w:rsidRPr="0030673B">
        <w:rPr>
          <w:lang w:val="en-US"/>
        </w:rPr>
        <w:t>Mosadeghrad</w:t>
      </w:r>
      <w:proofErr w:type="spellEnd"/>
      <w:r w:rsidRPr="0030673B">
        <w:rPr>
          <w:lang w:val="en-US"/>
        </w:rPr>
        <w:t xml:space="preserve"> AM. Factors influencing healthcare service quality. Int J Health Policy Manag. 2014 Jul 26;3(2):77-89. </w:t>
      </w:r>
      <w:proofErr w:type="spellStart"/>
      <w:r w:rsidRPr="0030673B">
        <w:rPr>
          <w:lang w:val="en-US"/>
        </w:rPr>
        <w:t>doi</w:t>
      </w:r>
      <w:proofErr w:type="spellEnd"/>
      <w:r w:rsidRPr="0030673B">
        <w:rPr>
          <w:lang w:val="en-US"/>
        </w:rPr>
        <w:t xml:space="preserve">: 10.15171/ijhpm.2014.65. PMID: 25114946; PMCID: PMC4122083. </w:t>
      </w:r>
    </w:p>
    <w:p w:rsidR="0030673B" w:rsidRPr="0030673B" w:rsidRDefault="0030673B" w:rsidP="0030673B">
      <w:pPr>
        <w:numPr>
          <w:ilvl w:val="0"/>
          <w:numId w:val="18"/>
        </w:numPr>
      </w:pPr>
      <w:r w:rsidRPr="0030673B">
        <w:t>Mugo, F. W. (2002). Sampling in research.</w:t>
      </w:r>
    </w:p>
    <w:p w:rsidR="0030673B" w:rsidRPr="0030673B" w:rsidRDefault="0030673B" w:rsidP="0030673B">
      <w:pPr>
        <w:numPr>
          <w:ilvl w:val="0"/>
          <w:numId w:val="18"/>
        </w:numPr>
        <w:rPr>
          <w:lang w:val="en-US"/>
        </w:rPr>
      </w:pPr>
      <w:r w:rsidRPr="0030673B">
        <w:rPr>
          <w:lang w:val="en-US"/>
        </w:rPr>
        <w:t xml:space="preserve">Mundy K, Verger A. The World Bank and the global governance of education in a changing world order. International Journal of Educational Development. 2015 Jan 1; 40:9-18. </w:t>
      </w:r>
    </w:p>
    <w:p w:rsidR="0030673B" w:rsidRPr="0030673B" w:rsidRDefault="0030673B" w:rsidP="0030673B">
      <w:pPr>
        <w:numPr>
          <w:ilvl w:val="0"/>
          <w:numId w:val="18"/>
        </w:numPr>
        <w:rPr>
          <w:lang w:val="en-US"/>
        </w:rPr>
      </w:pPr>
      <w:r w:rsidRPr="0030673B">
        <w:rPr>
          <w:lang w:val="en-US"/>
        </w:rPr>
        <w:t xml:space="preserve">Muyskens K. Avoiding cultural imperialism in the human right to health. Asian Bioethics Review. 2022 Jan;14(1):87-101 </w:t>
      </w:r>
    </w:p>
    <w:p w:rsidR="0030673B" w:rsidRPr="0030673B" w:rsidRDefault="0030673B" w:rsidP="0030673B">
      <w:pPr>
        <w:numPr>
          <w:ilvl w:val="0"/>
          <w:numId w:val="18"/>
        </w:numPr>
        <w:rPr>
          <w:lang w:val="en-US"/>
        </w:rPr>
      </w:pPr>
      <w:r w:rsidRPr="0030673B">
        <w:rPr>
          <w:lang w:val="en-US"/>
        </w:rPr>
        <w:lastRenderedPageBreak/>
        <w:t>Muzammil S, Lopes G. Lack of Primary Health Care Services in Developing Countries during Pandemic: An Urgent Reminder! Journal of Family Medicine and Disease Prevention. 2021 7:138. doi.org/10.23937/2469-5793/1510138</w:t>
      </w:r>
    </w:p>
    <w:p w:rsidR="0030673B" w:rsidRPr="0030673B" w:rsidRDefault="0030673B" w:rsidP="0030673B">
      <w:pPr>
        <w:numPr>
          <w:ilvl w:val="0"/>
          <w:numId w:val="18"/>
        </w:numPr>
        <w:rPr>
          <w:lang w:val="en-US"/>
        </w:rPr>
      </w:pPr>
      <w:proofErr w:type="spellStart"/>
      <w:r w:rsidRPr="0030673B">
        <w:t>Nadapdap</w:t>
      </w:r>
      <w:proofErr w:type="spellEnd"/>
      <w:r w:rsidRPr="0030673B">
        <w:t xml:space="preserve"> TP, </w:t>
      </w:r>
      <w:proofErr w:type="spellStart"/>
      <w:r w:rsidRPr="0030673B">
        <w:t>Afriani</w:t>
      </w:r>
      <w:proofErr w:type="spellEnd"/>
      <w:r w:rsidRPr="0030673B">
        <w:t xml:space="preserve"> M. Factors of Affecting the Quality of Achieving Health </w:t>
      </w:r>
      <w:proofErr w:type="spellStart"/>
      <w:r w:rsidRPr="0030673B">
        <w:t>Centers</w:t>
      </w:r>
      <w:proofErr w:type="spellEnd"/>
      <w:r w:rsidRPr="0030673B">
        <w:t xml:space="preserve"> on Patient Satisfaction at UPTD Langsa Baro Health </w:t>
      </w:r>
      <w:proofErr w:type="spellStart"/>
      <w:r w:rsidRPr="0030673B">
        <w:t>Center</w:t>
      </w:r>
      <w:proofErr w:type="spellEnd"/>
      <w:r w:rsidRPr="0030673B">
        <w:t xml:space="preserve"> in 2021. International Archives of Medical Sciences and Public Health. 2022 Jan 13;3(1):43-54. </w:t>
      </w:r>
    </w:p>
    <w:p w:rsidR="0030673B" w:rsidRPr="0030673B" w:rsidRDefault="0030673B" w:rsidP="0030673B">
      <w:pPr>
        <w:numPr>
          <w:ilvl w:val="0"/>
          <w:numId w:val="18"/>
        </w:numPr>
        <w:rPr>
          <w:lang w:val="en-US"/>
        </w:rPr>
      </w:pPr>
      <w:r w:rsidRPr="0030673B">
        <w:rPr>
          <w:lang w:val="en-US"/>
        </w:rPr>
        <w:t>Naidu, A. (2009). Factors affecting patient satisfaction and healthcare quality. International journal of health care quality assurance. 22(4):366-381. https://doi.org/10.1108/09526860910964834</w:t>
      </w:r>
    </w:p>
    <w:p w:rsidR="0030673B" w:rsidRPr="0030673B" w:rsidRDefault="0030673B" w:rsidP="0030673B">
      <w:pPr>
        <w:numPr>
          <w:ilvl w:val="0"/>
          <w:numId w:val="18"/>
        </w:numPr>
      </w:pPr>
      <w:r w:rsidRPr="0030673B">
        <w:t>Nayak B. K. (2010). Understanding the relevance of sample size calculation. Indian journal of ophthalmology, 58(6), 469–470. https://doi.org/10.4103/0301-4738.71673</w:t>
      </w:r>
    </w:p>
    <w:p w:rsidR="0030673B" w:rsidRPr="0030673B" w:rsidRDefault="0030673B" w:rsidP="0030673B">
      <w:pPr>
        <w:numPr>
          <w:ilvl w:val="0"/>
          <w:numId w:val="18"/>
        </w:numPr>
      </w:pPr>
      <w:r w:rsidRPr="0030673B">
        <w:t>Neuendorf, K. A. (2020). UNIT OF ANALYSIS AND OBSERVATION. Research Methods in the Social Sciences: an AZ of Key Concepts, 301.</w:t>
      </w:r>
    </w:p>
    <w:p w:rsidR="0030673B" w:rsidRPr="0030673B" w:rsidRDefault="0030673B" w:rsidP="0030673B">
      <w:pPr>
        <w:numPr>
          <w:ilvl w:val="0"/>
          <w:numId w:val="18"/>
        </w:numPr>
        <w:rPr>
          <w:lang w:val="en-US"/>
        </w:rPr>
      </w:pPr>
      <w:r w:rsidRPr="0030673B">
        <w:rPr>
          <w:lang w:val="en-US"/>
        </w:rPr>
        <w:t xml:space="preserve">Ng JH, Luk BH. Patient satisfaction: Concept analysis in the healthcare context. Patient education and counseling. 2019 Apr 1;102(4):790-6. </w:t>
      </w:r>
    </w:p>
    <w:p w:rsidR="0030673B" w:rsidRPr="0030673B" w:rsidRDefault="0030673B" w:rsidP="0030673B">
      <w:pPr>
        <w:numPr>
          <w:ilvl w:val="0"/>
          <w:numId w:val="18"/>
        </w:numPr>
        <w:rPr>
          <w:lang w:val="en-US"/>
        </w:rPr>
      </w:pPr>
      <w:r w:rsidRPr="0030673B">
        <w:rPr>
          <w:lang w:val="en-US"/>
        </w:rPr>
        <w:t xml:space="preserve">Or, C. K., &amp; Karsh, B. T. (2009). A systematic review of patient acceptance of consumer health information technology. Journal of the American Medical Informatics Association, 16(4), 550-560. </w:t>
      </w:r>
      <w:hyperlink r:id="rId55" w:history="1">
        <w:r w:rsidRPr="0030673B">
          <w:rPr>
            <w:rStyle w:val="Hyperlink"/>
            <w:lang w:val="en-US"/>
          </w:rPr>
          <w:t>https://doi.org/10.1197/jamia.M2888</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Otero, C., Luna, D., Marcelo, A., </w:t>
      </w:r>
      <w:proofErr w:type="spellStart"/>
      <w:r w:rsidRPr="0030673B">
        <w:rPr>
          <w:lang w:val="en-US"/>
        </w:rPr>
        <w:t>Househ</w:t>
      </w:r>
      <w:proofErr w:type="spellEnd"/>
      <w:r w:rsidRPr="0030673B">
        <w:rPr>
          <w:lang w:val="en-US"/>
        </w:rPr>
        <w:t xml:space="preserve">, M., </w:t>
      </w:r>
      <w:proofErr w:type="spellStart"/>
      <w:r w:rsidRPr="0030673B">
        <w:rPr>
          <w:lang w:val="en-US"/>
        </w:rPr>
        <w:t>Mandirola</w:t>
      </w:r>
      <w:proofErr w:type="spellEnd"/>
      <w:r w:rsidRPr="0030673B">
        <w:rPr>
          <w:lang w:val="en-US"/>
        </w:rPr>
        <w:t>, H., Curioso, W., Pazos., P &amp; Villalba, C. (2015). Why patient centered care coordination is important in developing countries? Yearbook of medical informatics, 24(01), 30-33. DOI: 10.15265/IY-2015-013</w:t>
      </w:r>
    </w:p>
    <w:p w:rsidR="0030673B" w:rsidRPr="0030673B" w:rsidRDefault="0030673B" w:rsidP="0030673B">
      <w:pPr>
        <w:numPr>
          <w:ilvl w:val="0"/>
          <w:numId w:val="18"/>
        </w:numPr>
      </w:pPr>
      <w:r w:rsidRPr="0030673B">
        <w:t>Ott, L. (1983). An Introduction to Statistical Methods and Data Analysis.</w:t>
      </w:r>
    </w:p>
    <w:p w:rsidR="0030673B" w:rsidRPr="0030673B" w:rsidRDefault="0030673B" w:rsidP="0030673B">
      <w:pPr>
        <w:numPr>
          <w:ilvl w:val="0"/>
          <w:numId w:val="18"/>
        </w:numPr>
      </w:pPr>
      <w:r w:rsidRPr="0030673B">
        <w:t>Patel, M., &amp; Patel, N. (2019). Exploring Research Methodology. International Journal of Research and Review, 6(3), 48-55.</w:t>
      </w:r>
    </w:p>
    <w:p w:rsidR="0030673B" w:rsidRPr="0030673B" w:rsidRDefault="0030673B" w:rsidP="0030673B">
      <w:pPr>
        <w:numPr>
          <w:ilvl w:val="0"/>
          <w:numId w:val="18"/>
        </w:numPr>
      </w:pPr>
      <w:r w:rsidRPr="0030673B">
        <w:t>Pawar, A. A., &amp; Mukherji, S. (2011). A Survey Cum Study on the level of satisfaction with the Quality and delivery of Health Care at INHS Sanjivani. J Mar Med Soc, 13, 119-123.</w:t>
      </w:r>
    </w:p>
    <w:p w:rsidR="0030673B" w:rsidRPr="0030673B" w:rsidRDefault="0030673B" w:rsidP="0030673B">
      <w:pPr>
        <w:numPr>
          <w:ilvl w:val="0"/>
          <w:numId w:val="18"/>
        </w:numPr>
        <w:rPr>
          <w:lang w:val="en-US"/>
        </w:rPr>
      </w:pPr>
      <w:r w:rsidRPr="0030673B">
        <w:rPr>
          <w:lang w:val="en-US"/>
        </w:rPr>
        <w:t xml:space="preserve">Peters, D. H., Garg, A., Bloom, G., Walker, D. G., Brieger, W. R., &amp; </w:t>
      </w:r>
      <w:proofErr w:type="spellStart"/>
      <w:r w:rsidRPr="0030673B">
        <w:rPr>
          <w:lang w:val="en-US"/>
        </w:rPr>
        <w:t>Hafizur</w:t>
      </w:r>
      <w:proofErr w:type="spellEnd"/>
      <w:r w:rsidRPr="0030673B">
        <w:rPr>
          <w:lang w:val="en-US"/>
        </w:rPr>
        <w:t xml:space="preserve"> Rahman, M. (2008). Poverty and access to health care in developing countries. Annals of the New York Academy of Sciences, 1136(1), 161-171. https://doi.org/10.1196/annals.1425.011</w:t>
      </w:r>
    </w:p>
    <w:p w:rsidR="0030673B" w:rsidRPr="0030673B" w:rsidRDefault="0030673B" w:rsidP="0030673B">
      <w:pPr>
        <w:numPr>
          <w:ilvl w:val="0"/>
          <w:numId w:val="18"/>
        </w:numPr>
      </w:pPr>
      <w:r w:rsidRPr="0030673B">
        <w:t xml:space="preserve">Pini, A., </w:t>
      </w:r>
      <w:proofErr w:type="spellStart"/>
      <w:r w:rsidRPr="0030673B">
        <w:t>Sarafis</w:t>
      </w:r>
      <w:proofErr w:type="spellEnd"/>
      <w:r w:rsidRPr="0030673B">
        <w:t xml:space="preserve">, P., </w:t>
      </w:r>
      <w:proofErr w:type="spellStart"/>
      <w:r w:rsidRPr="0030673B">
        <w:t>Malliarou</w:t>
      </w:r>
      <w:proofErr w:type="spellEnd"/>
      <w:r w:rsidRPr="0030673B">
        <w:t xml:space="preserve">, M., </w:t>
      </w:r>
      <w:proofErr w:type="spellStart"/>
      <w:r w:rsidRPr="0030673B">
        <w:t>Tsounis</w:t>
      </w:r>
      <w:proofErr w:type="spellEnd"/>
      <w:r w:rsidRPr="0030673B">
        <w:t xml:space="preserve">, A., </w:t>
      </w:r>
      <w:proofErr w:type="spellStart"/>
      <w:r w:rsidRPr="0030673B">
        <w:t>Igoumenidis</w:t>
      </w:r>
      <w:proofErr w:type="spellEnd"/>
      <w:r w:rsidRPr="0030673B">
        <w:t xml:space="preserve">, M., </w:t>
      </w:r>
      <w:proofErr w:type="spellStart"/>
      <w:r w:rsidRPr="0030673B">
        <w:t>Bamidis</w:t>
      </w:r>
      <w:proofErr w:type="spellEnd"/>
      <w:r w:rsidRPr="0030673B">
        <w:t xml:space="preserve">, P., &amp; </w:t>
      </w:r>
      <w:proofErr w:type="spellStart"/>
      <w:r w:rsidRPr="0030673B">
        <w:t>Niakas</w:t>
      </w:r>
      <w:proofErr w:type="spellEnd"/>
      <w:r w:rsidRPr="0030673B">
        <w:t>, D. (2014). Assessment of patient satisfaction of the quality of health care provided by outpatient services of an oncology hospital. Global journal of health science, 6(5), 196.</w:t>
      </w:r>
    </w:p>
    <w:p w:rsidR="0030673B" w:rsidRPr="0030673B" w:rsidRDefault="0030673B" w:rsidP="0030673B">
      <w:pPr>
        <w:numPr>
          <w:ilvl w:val="0"/>
          <w:numId w:val="18"/>
        </w:numPr>
        <w:rPr>
          <w:lang w:val="en-US"/>
        </w:rPr>
      </w:pPr>
      <w:r w:rsidRPr="0030673B">
        <w:rPr>
          <w:lang w:val="en-US"/>
        </w:rPr>
        <w:lastRenderedPageBreak/>
        <w:t xml:space="preserve">Pirhonen, L., Bolin, K., Olofsson, E. H., Fors, A., Ekman, I., Swedberg, K., &amp; Gyllensten, H. (2019). Person-centered care in patients with acute coronary syndrome: Cost-effectiveness analysis alongside a </w:t>
      </w:r>
      <w:proofErr w:type="spellStart"/>
      <w:r w:rsidRPr="0030673B">
        <w:rPr>
          <w:lang w:val="en-US"/>
        </w:rPr>
        <w:t>randomised</w:t>
      </w:r>
      <w:proofErr w:type="spellEnd"/>
      <w:r w:rsidRPr="0030673B">
        <w:rPr>
          <w:lang w:val="en-US"/>
        </w:rPr>
        <w:t xml:space="preserve"> controlled trial. </w:t>
      </w:r>
      <w:r w:rsidRPr="0030673B">
        <w:rPr>
          <w:i/>
          <w:iCs/>
          <w:lang w:val="en-US"/>
        </w:rPr>
        <w:t>PharmacoEconomics-open</w:t>
      </w:r>
      <w:r w:rsidRPr="0030673B">
        <w:rPr>
          <w:lang w:val="en-US"/>
        </w:rPr>
        <w:t>, </w:t>
      </w:r>
      <w:r w:rsidRPr="0030673B">
        <w:rPr>
          <w:b/>
          <w:bCs/>
          <w:lang w:val="en-US"/>
        </w:rPr>
        <w:t>3</w:t>
      </w:r>
      <w:r w:rsidRPr="0030673B">
        <w:rPr>
          <w:lang w:val="en-US"/>
        </w:rPr>
        <w:t>(4), 495–504. </w:t>
      </w:r>
      <w:hyperlink r:id="rId56" w:history="1">
        <w:r w:rsidRPr="0030673B">
          <w:rPr>
            <w:rStyle w:val="Hyperlink"/>
            <w:lang w:val="en-US"/>
          </w:rPr>
          <w:t>https://doi.org/10.1007/s41669-019-0126-3</w:t>
        </w:r>
      </w:hyperlink>
    </w:p>
    <w:p w:rsidR="0030673B" w:rsidRPr="0030673B" w:rsidRDefault="0030673B" w:rsidP="0030673B">
      <w:pPr>
        <w:numPr>
          <w:ilvl w:val="0"/>
          <w:numId w:val="18"/>
        </w:numPr>
        <w:rPr>
          <w:lang w:val="en-US"/>
        </w:rPr>
      </w:pPr>
      <w:r w:rsidRPr="0030673B">
        <w:rPr>
          <w:lang w:val="en-US"/>
        </w:rPr>
        <w:t>Potts, A. L., Barr, F. E., Gregory, D. F., Wright, L., &amp; Patel, N. R. (2004). Computerized physician order entry and medication errors in a pediatric critical care unit. Pediatrics, 113(1), 59-63.</w:t>
      </w:r>
    </w:p>
    <w:p w:rsidR="0030673B" w:rsidRPr="0030673B" w:rsidRDefault="0030673B" w:rsidP="0030673B">
      <w:pPr>
        <w:numPr>
          <w:ilvl w:val="0"/>
          <w:numId w:val="18"/>
        </w:numPr>
        <w:rPr>
          <w:lang w:val="en-US"/>
        </w:rPr>
      </w:pPr>
      <w:proofErr w:type="spellStart"/>
      <w:r w:rsidRPr="0030673B">
        <w:rPr>
          <w:lang w:val="en-US"/>
        </w:rPr>
        <w:t>Purcarea</w:t>
      </w:r>
      <w:proofErr w:type="spellEnd"/>
      <w:r w:rsidRPr="0030673B">
        <w:rPr>
          <w:lang w:val="en-US"/>
        </w:rPr>
        <w:t xml:space="preserve"> V. L. (2019). The impact of marketing strategies on healthcare systems. Journal of medicine and life, 12(2), 93–96. https://doi.org/10.25122/jml-2019-1003</w:t>
      </w:r>
    </w:p>
    <w:p w:rsidR="0030673B" w:rsidRPr="0030673B" w:rsidRDefault="0030673B" w:rsidP="0030673B">
      <w:pPr>
        <w:numPr>
          <w:ilvl w:val="0"/>
          <w:numId w:val="18"/>
        </w:numPr>
        <w:rPr>
          <w:lang w:val="en-US"/>
        </w:rPr>
      </w:pPr>
      <w:r w:rsidRPr="0030673B">
        <w:rPr>
          <w:lang w:val="en-US"/>
        </w:rPr>
        <w:t xml:space="preserve">Rahman R. The privatization of health care system in Saudi Arabia. Health services insights. 2020 Jun; 13:1178632920934497. </w:t>
      </w:r>
    </w:p>
    <w:p w:rsidR="0030673B" w:rsidRPr="0030673B" w:rsidRDefault="0030673B" w:rsidP="0030673B">
      <w:pPr>
        <w:numPr>
          <w:ilvl w:val="0"/>
          <w:numId w:val="18"/>
        </w:numPr>
        <w:rPr>
          <w:lang w:val="en-US"/>
        </w:rPr>
      </w:pPr>
      <w:r w:rsidRPr="0030673B">
        <w:rPr>
          <w:lang w:val="en-US"/>
        </w:rPr>
        <w:t xml:space="preserve">Rasheed, M. K., Hasan, S. S., &amp; Babar, Z. U. D. (2019). Community pharmacist's knowledge, attitude, roles and practices towards patient-centered care in Saudi Arabia: a systematic review of the literature. Journal of Pharmaceutical Health Services Research, 10(1), 101-115. </w:t>
      </w:r>
      <w:hyperlink r:id="rId57" w:history="1">
        <w:r w:rsidRPr="0030673B">
          <w:rPr>
            <w:rStyle w:val="Hyperlink"/>
            <w:lang w:val="en-US"/>
          </w:rPr>
          <w:t>https://doi.org/10.1111/jphs.12264</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Rasouli, O., &amp; Zarei, M. H. (2016). Monitoring and reducing patient dissatisfaction: a case study of an Iranian public hospital. Total Quality Management &amp; Business Excellence, 27(5-6), 531-559.</w:t>
      </w:r>
    </w:p>
    <w:p w:rsidR="0030673B" w:rsidRPr="0030673B" w:rsidRDefault="0030673B" w:rsidP="0030673B">
      <w:pPr>
        <w:numPr>
          <w:ilvl w:val="0"/>
          <w:numId w:val="18"/>
        </w:numPr>
        <w:rPr>
          <w:lang w:val="en-US"/>
        </w:rPr>
      </w:pPr>
      <w:r w:rsidRPr="0030673B">
        <w:rPr>
          <w:lang w:val="en-US"/>
        </w:rPr>
        <w:t xml:space="preserve">Reader TW, Gillespie A, Roberts J. Patient complaints in healthcare systems: a systematic review and coding taxonomy. BMJ quality &amp; safety. 2014 Aug 1;23(8):678-89. </w:t>
      </w:r>
    </w:p>
    <w:p w:rsidR="0030673B" w:rsidRPr="0030673B" w:rsidRDefault="0030673B" w:rsidP="0030673B">
      <w:pPr>
        <w:numPr>
          <w:ilvl w:val="0"/>
          <w:numId w:val="18"/>
        </w:numPr>
      </w:pPr>
      <w:r w:rsidRPr="0030673B">
        <w:t>Reed, M. J., Newby, D. E., Coull, A. J., Jacques, K. G., Prescott, R. J., &amp; Gray, A. J. (2007). The Risk stratification Of Syncope in the Emergency department (ROSE) pilot study: a comparison of existing syncope guidelines. Emergency Medicine Journal, 24(4), 270-275.</w:t>
      </w:r>
    </w:p>
    <w:p w:rsidR="0030673B" w:rsidRPr="0030673B" w:rsidRDefault="0030673B" w:rsidP="0030673B">
      <w:pPr>
        <w:numPr>
          <w:ilvl w:val="0"/>
          <w:numId w:val="18"/>
        </w:numPr>
        <w:rPr>
          <w:lang w:val="en-US"/>
        </w:rPr>
      </w:pPr>
      <w:r w:rsidRPr="0030673B">
        <w:rPr>
          <w:lang w:val="en-US"/>
        </w:rPr>
        <w:t xml:space="preserve">Rehman, S. A., &amp; Ali, P. A. (2016). A review of factors affecting patient satisfaction with nurse led triage in emergency departments. International emergency nursing, 29, 38-44. </w:t>
      </w:r>
      <w:hyperlink r:id="rId58" w:history="1">
        <w:r w:rsidRPr="0030673B">
          <w:rPr>
            <w:rStyle w:val="Hyperlink"/>
            <w:lang w:val="en-US"/>
          </w:rPr>
          <w:t>https://doi.org/10.1016/j.ienj.2015.11.002</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Richardson, W. C., Berwick, D., Bisgard, J., Bristow, L., Buck, C., &amp; Cassel, C. (2001). Institute of medicine. Crossing the quality chasm: a new health system for the 21st century.</w:t>
      </w:r>
    </w:p>
    <w:p w:rsidR="0030673B" w:rsidRPr="0030673B" w:rsidRDefault="0030673B" w:rsidP="0030673B">
      <w:pPr>
        <w:numPr>
          <w:ilvl w:val="0"/>
          <w:numId w:val="18"/>
        </w:numPr>
        <w:rPr>
          <w:lang w:val="en-US"/>
        </w:rPr>
      </w:pPr>
      <w:r w:rsidRPr="0030673B">
        <w:rPr>
          <w:lang w:val="en-US"/>
        </w:rPr>
        <w:t xml:space="preserve">Riiskjær, E., Ammentorp, J., &amp; Kofoed, P. E. (2019). The value of open-ended questions in surveys on patient experience: number of comments and perceived usefulness from a hospital perspective. International Journal for Quality in Health Care, 24(5), 509-516. </w:t>
      </w:r>
      <w:hyperlink r:id="rId59" w:history="1">
        <w:r w:rsidRPr="0030673B">
          <w:rPr>
            <w:rStyle w:val="Hyperlink"/>
            <w:lang w:val="en-US"/>
          </w:rPr>
          <w:t>http://dx.doi.org/10.1093/intqhc/mzs039</w:t>
        </w:r>
      </w:hyperlink>
      <w:r w:rsidRPr="0030673B">
        <w:rPr>
          <w:lang w:val="en-US"/>
        </w:rPr>
        <w:t xml:space="preserve"> </w:t>
      </w:r>
    </w:p>
    <w:p w:rsidR="0030673B" w:rsidRPr="0030673B" w:rsidRDefault="0030673B" w:rsidP="0030673B">
      <w:pPr>
        <w:numPr>
          <w:ilvl w:val="0"/>
          <w:numId w:val="18"/>
        </w:numPr>
      </w:pPr>
      <w:r w:rsidRPr="0030673B">
        <w:lastRenderedPageBreak/>
        <w:t>Robinson, J. H., Callister, L. C., Berry, J. A., &amp; Dearing, K. A. (2008). Patient‐</w:t>
      </w:r>
      <w:proofErr w:type="spellStart"/>
      <w:r w:rsidRPr="0030673B">
        <w:t>centered</w:t>
      </w:r>
      <w:proofErr w:type="spellEnd"/>
      <w:r w:rsidRPr="0030673B">
        <w:t xml:space="preserve"> care and adherence: Definitions and applications to improve outcomes. Journal of the American Academy of Nurse Practitioners, 20(12), 600-607.</w:t>
      </w:r>
    </w:p>
    <w:p w:rsidR="0030673B" w:rsidRPr="0030673B" w:rsidRDefault="0030673B" w:rsidP="0030673B">
      <w:pPr>
        <w:numPr>
          <w:ilvl w:val="0"/>
          <w:numId w:val="18"/>
        </w:numPr>
        <w:rPr>
          <w:lang w:val="en-US"/>
        </w:rPr>
      </w:pPr>
      <w:r w:rsidRPr="0030673B">
        <w:rPr>
          <w:lang w:val="en-US"/>
        </w:rPr>
        <w:t xml:space="preserve">Roham, M., Gabrielyan, A. R., &amp; Archer, N. P. (2019). Predicting the impact of hospital health information technology adoption on patient satisfaction. Artificial intelligence in medicine, 56(2), 123-135. </w:t>
      </w:r>
      <w:hyperlink r:id="rId60" w:history="1">
        <w:r w:rsidRPr="0030673B">
          <w:rPr>
            <w:rStyle w:val="Hyperlink"/>
            <w:lang w:val="en-US"/>
          </w:rPr>
          <w:t>https://doi.org/10.1016/j.artmed.2019.08.001</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Rosenthal T. C. (2008). The medical home: growing evidence to support a new approach to primary care. Journal of the American Board of Family Medicine: JABFM, 21(5), 427–440. </w:t>
      </w:r>
      <w:hyperlink r:id="rId61" w:history="1">
        <w:r w:rsidRPr="0030673B">
          <w:rPr>
            <w:rStyle w:val="Hyperlink"/>
            <w:lang w:val="en-US"/>
          </w:rPr>
          <w:t>https://doi.org/10.3122/jabfm.2008.05.070287</w:t>
        </w:r>
      </w:hyperlink>
    </w:p>
    <w:p w:rsidR="0030673B" w:rsidRPr="0030673B" w:rsidRDefault="0030673B" w:rsidP="0030673B">
      <w:pPr>
        <w:numPr>
          <w:ilvl w:val="0"/>
          <w:numId w:val="18"/>
        </w:numPr>
        <w:rPr>
          <w:lang w:val="en-US"/>
        </w:rPr>
      </w:pPr>
      <w:r w:rsidRPr="0030673B">
        <w:rPr>
          <w:lang w:val="en-US"/>
        </w:rPr>
        <w:t xml:space="preserve">Rozenblum, R., Donzé, J., Hockey, P. M., </w:t>
      </w:r>
      <w:proofErr w:type="spellStart"/>
      <w:r w:rsidRPr="0030673B">
        <w:rPr>
          <w:lang w:val="en-US"/>
        </w:rPr>
        <w:t>Guzdar</w:t>
      </w:r>
      <w:proofErr w:type="spellEnd"/>
      <w:r w:rsidRPr="0030673B">
        <w:rPr>
          <w:lang w:val="en-US"/>
        </w:rPr>
        <w:t xml:space="preserve">, E., </w:t>
      </w:r>
      <w:proofErr w:type="spellStart"/>
      <w:r w:rsidRPr="0030673B">
        <w:rPr>
          <w:lang w:val="en-US"/>
        </w:rPr>
        <w:t>Labuzetta</w:t>
      </w:r>
      <w:proofErr w:type="spellEnd"/>
      <w:r w:rsidRPr="0030673B">
        <w:rPr>
          <w:lang w:val="en-US"/>
        </w:rPr>
        <w:t xml:space="preserve">, M. A., </w:t>
      </w:r>
      <w:proofErr w:type="spellStart"/>
      <w:r w:rsidRPr="0030673B">
        <w:rPr>
          <w:lang w:val="en-US"/>
        </w:rPr>
        <w:t>Zimlichman</w:t>
      </w:r>
      <w:proofErr w:type="spellEnd"/>
      <w:r w:rsidRPr="0030673B">
        <w:rPr>
          <w:lang w:val="en-US"/>
        </w:rPr>
        <w:t>, E., &amp; Bates, D. W. (2018). The impact of medical informatics on patient satisfaction: a USA-based literature review. International journal of medical informatics, 82(3), 141-158.</w:t>
      </w:r>
    </w:p>
    <w:p w:rsidR="0030673B" w:rsidRPr="0030673B" w:rsidRDefault="0030673B" w:rsidP="0030673B">
      <w:pPr>
        <w:numPr>
          <w:ilvl w:val="0"/>
          <w:numId w:val="18"/>
        </w:numPr>
        <w:rPr>
          <w:lang w:val="en-US"/>
        </w:rPr>
      </w:pPr>
      <w:r w:rsidRPr="0030673B">
        <w:rPr>
          <w:lang w:val="en-US"/>
        </w:rPr>
        <w:t xml:space="preserve">Rozenblum, R., Donzé, J., Hockey, P. M., </w:t>
      </w:r>
      <w:proofErr w:type="spellStart"/>
      <w:r w:rsidRPr="0030673B">
        <w:rPr>
          <w:lang w:val="en-US"/>
        </w:rPr>
        <w:t>Guzdar</w:t>
      </w:r>
      <w:proofErr w:type="spellEnd"/>
      <w:r w:rsidRPr="0030673B">
        <w:rPr>
          <w:lang w:val="en-US"/>
        </w:rPr>
        <w:t xml:space="preserve">, E., </w:t>
      </w:r>
      <w:proofErr w:type="spellStart"/>
      <w:r w:rsidRPr="0030673B">
        <w:rPr>
          <w:lang w:val="en-US"/>
        </w:rPr>
        <w:t>Labuzetta</w:t>
      </w:r>
      <w:proofErr w:type="spellEnd"/>
      <w:r w:rsidRPr="0030673B">
        <w:rPr>
          <w:lang w:val="en-US"/>
        </w:rPr>
        <w:t xml:space="preserve">, M. A., </w:t>
      </w:r>
      <w:proofErr w:type="spellStart"/>
      <w:r w:rsidRPr="0030673B">
        <w:rPr>
          <w:lang w:val="en-US"/>
        </w:rPr>
        <w:t>Zimlichman</w:t>
      </w:r>
      <w:proofErr w:type="spellEnd"/>
      <w:r w:rsidRPr="0030673B">
        <w:rPr>
          <w:lang w:val="en-US"/>
        </w:rPr>
        <w:t xml:space="preserve">, E., &amp; Bates, D. W. (2018). The impact of medical informatics on patient satisfaction: a USA-based literature review. International journal of medical informatics, 82(3), 141-158. </w:t>
      </w:r>
      <w:hyperlink r:id="rId62" w:history="1">
        <w:r w:rsidRPr="0030673B">
          <w:rPr>
            <w:rStyle w:val="Hyperlink"/>
            <w:lang w:val="en-US"/>
          </w:rPr>
          <w:t>https://doi.org/10.1016/j.ijmedinf.2019.12.008</w:t>
        </w:r>
      </w:hyperlink>
      <w:r w:rsidRPr="0030673B">
        <w:rPr>
          <w:lang w:val="en-US"/>
        </w:rPr>
        <w:t xml:space="preserve"> </w:t>
      </w:r>
    </w:p>
    <w:p w:rsidR="0030673B" w:rsidRPr="0030673B" w:rsidRDefault="0030673B" w:rsidP="0030673B">
      <w:pPr>
        <w:numPr>
          <w:ilvl w:val="0"/>
          <w:numId w:val="18"/>
        </w:numPr>
        <w:rPr>
          <w:lang w:val="en-US"/>
        </w:rPr>
      </w:pPr>
      <w:proofErr w:type="spellStart"/>
      <w:r w:rsidRPr="0030673B">
        <w:rPr>
          <w:lang w:val="en-US"/>
        </w:rPr>
        <w:t>Sadjadian</w:t>
      </w:r>
      <w:proofErr w:type="spellEnd"/>
      <w:r w:rsidRPr="0030673B">
        <w:rPr>
          <w:lang w:val="en-US"/>
        </w:rPr>
        <w:t xml:space="preserve">, A., Kaviani, A., </w:t>
      </w:r>
      <w:proofErr w:type="spellStart"/>
      <w:r w:rsidRPr="0030673B">
        <w:rPr>
          <w:lang w:val="en-US"/>
        </w:rPr>
        <w:t>Yunesian</w:t>
      </w:r>
      <w:proofErr w:type="spellEnd"/>
      <w:r w:rsidRPr="0030673B">
        <w:rPr>
          <w:lang w:val="en-US"/>
        </w:rPr>
        <w:t>, M., &amp; Montazeri, A. (2004). Patient satisfaction: a descriptive study of a breast care clinic in Iran. European journal of cancer care, 13(2), 163-168.</w:t>
      </w:r>
    </w:p>
    <w:p w:rsidR="0030673B" w:rsidRPr="0030673B" w:rsidRDefault="0030673B" w:rsidP="0030673B">
      <w:pPr>
        <w:numPr>
          <w:ilvl w:val="0"/>
          <w:numId w:val="18"/>
        </w:numPr>
        <w:rPr>
          <w:lang w:val="en-US"/>
        </w:rPr>
      </w:pPr>
      <w:proofErr w:type="spellStart"/>
      <w:r w:rsidRPr="0030673B">
        <w:rPr>
          <w:lang w:val="en-US"/>
        </w:rPr>
        <w:t>Santuzzi</w:t>
      </w:r>
      <w:proofErr w:type="spellEnd"/>
      <w:r w:rsidRPr="0030673B">
        <w:rPr>
          <w:lang w:val="en-US"/>
        </w:rPr>
        <w:t>, N. R., Brodnik, M. S., Rinehart-Thompson, L., &amp; Klatt, M. (2009). Patient satisfaction: how do qualitative comments relate to quantitative scores on a satisfaction survey? Quality Management in Healthcare, 18(1), 3-18.</w:t>
      </w:r>
    </w:p>
    <w:p w:rsidR="0030673B" w:rsidRPr="0030673B" w:rsidRDefault="0030673B" w:rsidP="0030673B">
      <w:pPr>
        <w:numPr>
          <w:ilvl w:val="0"/>
          <w:numId w:val="18"/>
        </w:numPr>
        <w:rPr>
          <w:lang w:val="en-US"/>
        </w:rPr>
      </w:pPr>
      <w:r w:rsidRPr="0030673B">
        <w:rPr>
          <w:lang w:val="en-US"/>
        </w:rPr>
        <w:t xml:space="preserve">Sayed, M. E. (2021). Knowledge, attitude and </w:t>
      </w:r>
      <w:proofErr w:type="spellStart"/>
      <w:r w:rsidRPr="0030673B">
        <w:rPr>
          <w:lang w:val="en-US"/>
        </w:rPr>
        <w:t>behaviour</w:t>
      </w:r>
      <w:proofErr w:type="spellEnd"/>
      <w:r w:rsidRPr="0030673B">
        <w:rPr>
          <w:lang w:val="en-US"/>
        </w:rPr>
        <w:t xml:space="preserve"> of dental health care providers towards health electronic record systems in Saudi Arabia. </w:t>
      </w:r>
      <w:r w:rsidRPr="0030673B">
        <w:rPr>
          <w:i/>
          <w:iCs/>
          <w:lang w:val="en-US"/>
        </w:rPr>
        <w:t>Health Information &amp; Libraries Journal</w:t>
      </w:r>
      <w:r w:rsidRPr="0030673B">
        <w:rPr>
          <w:lang w:val="en-US"/>
        </w:rPr>
        <w:t>, </w:t>
      </w:r>
      <w:r w:rsidRPr="0030673B">
        <w:rPr>
          <w:i/>
          <w:iCs/>
          <w:lang w:val="en-US"/>
        </w:rPr>
        <w:t>38</w:t>
      </w:r>
      <w:r w:rsidRPr="0030673B">
        <w:rPr>
          <w:lang w:val="en-US"/>
        </w:rPr>
        <w:t>(3), 194-202.</w:t>
      </w:r>
    </w:p>
    <w:p w:rsidR="0030673B" w:rsidRPr="0030673B" w:rsidRDefault="0030673B" w:rsidP="0030673B">
      <w:pPr>
        <w:numPr>
          <w:ilvl w:val="0"/>
          <w:numId w:val="18"/>
        </w:numPr>
      </w:pPr>
      <w:r w:rsidRPr="0030673B">
        <w:t xml:space="preserve">Sedgwick, P. (2014). Unit of observation versus unit of analysis. </w:t>
      </w:r>
      <w:proofErr w:type="spellStart"/>
      <w:r w:rsidRPr="0030673B">
        <w:t>Bmj</w:t>
      </w:r>
      <w:proofErr w:type="spellEnd"/>
      <w:r w:rsidRPr="0030673B">
        <w:t>, 348.</w:t>
      </w:r>
    </w:p>
    <w:p w:rsidR="0030673B" w:rsidRPr="0030673B" w:rsidRDefault="0030673B" w:rsidP="0030673B">
      <w:pPr>
        <w:numPr>
          <w:ilvl w:val="0"/>
          <w:numId w:val="18"/>
        </w:numPr>
      </w:pPr>
      <w:r w:rsidRPr="0030673B">
        <w:t>Sekaran, U., &amp; Bougie, R. (2016). Research methods for business: A skill building approach. John Wiley &amp; Sons.</w:t>
      </w:r>
    </w:p>
    <w:p w:rsidR="0030673B" w:rsidRPr="0030673B" w:rsidRDefault="0030673B" w:rsidP="0030673B">
      <w:pPr>
        <w:numPr>
          <w:ilvl w:val="0"/>
          <w:numId w:val="18"/>
        </w:numPr>
        <w:rPr>
          <w:lang w:val="en-US"/>
        </w:rPr>
      </w:pPr>
      <w:r w:rsidRPr="0030673B">
        <w:rPr>
          <w:lang w:val="en-US"/>
        </w:rPr>
        <w:t xml:space="preserve">Senitan, M., </w:t>
      </w:r>
      <w:proofErr w:type="spellStart"/>
      <w:r w:rsidRPr="0030673B">
        <w:rPr>
          <w:lang w:val="en-US"/>
        </w:rPr>
        <w:t>Alhaiti</w:t>
      </w:r>
      <w:proofErr w:type="spellEnd"/>
      <w:r w:rsidRPr="0030673B">
        <w:rPr>
          <w:lang w:val="en-US"/>
        </w:rPr>
        <w:t xml:space="preserve">, A. H., &amp; Gillespie, J. (2018). Patient satisfaction and experience of primary care in Saudi Arabia: a systematic review. International Journal for Quality in Health Care, 30(10), 751-759. </w:t>
      </w:r>
      <w:hyperlink r:id="rId63" w:history="1">
        <w:r w:rsidRPr="0030673B">
          <w:rPr>
            <w:rStyle w:val="Hyperlink"/>
            <w:lang w:val="en-US"/>
          </w:rPr>
          <w:t>https://doi.org/10.1093/intqhc/mzy104</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Serhan M, </w:t>
      </w:r>
      <w:proofErr w:type="spellStart"/>
      <w:r w:rsidRPr="0030673B">
        <w:rPr>
          <w:lang w:val="en-US"/>
        </w:rPr>
        <w:t>Toutounji</w:t>
      </w:r>
      <w:proofErr w:type="spellEnd"/>
      <w:r w:rsidRPr="0030673B">
        <w:rPr>
          <w:lang w:val="en-US"/>
        </w:rPr>
        <w:t xml:space="preserve"> B, Serhan C. Impact of nutrition service attributes on patient satisfaction: evidence from an outpatient clinic at a Lebanese-Middle Eastern hospital. </w:t>
      </w:r>
      <w:proofErr w:type="spellStart"/>
      <w:r w:rsidRPr="0030673B">
        <w:rPr>
          <w:lang w:val="en-US"/>
        </w:rPr>
        <w:t>EuroMed</w:t>
      </w:r>
      <w:proofErr w:type="spellEnd"/>
      <w:r w:rsidRPr="0030673B">
        <w:rPr>
          <w:lang w:val="en-US"/>
        </w:rPr>
        <w:t xml:space="preserve"> Journal of Business. 2022 Jan 21. </w:t>
      </w:r>
    </w:p>
    <w:p w:rsidR="0030673B" w:rsidRPr="0030673B" w:rsidRDefault="0030673B" w:rsidP="0030673B">
      <w:pPr>
        <w:numPr>
          <w:ilvl w:val="0"/>
          <w:numId w:val="18"/>
        </w:numPr>
        <w:rPr>
          <w:lang w:val="en-US"/>
        </w:rPr>
      </w:pPr>
      <w:r w:rsidRPr="0030673B">
        <w:rPr>
          <w:lang w:val="en-US"/>
        </w:rPr>
        <w:lastRenderedPageBreak/>
        <w:t xml:space="preserve">Shaker, H. A., Farooq, M. U., &amp; </w:t>
      </w:r>
      <w:proofErr w:type="spellStart"/>
      <w:r w:rsidRPr="0030673B">
        <w:rPr>
          <w:lang w:val="en-US"/>
        </w:rPr>
        <w:t>Dhafar</w:t>
      </w:r>
      <w:proofErr w:type="spellEnd"/>
      <w:r w:rsidRPr="0030673B">
        <w:rPr>
          <w:lang w:val="en-US"/>
        </w:rPr>
        <w:t>, K. O. (2015). Physicians′ perception about electronic medical record system in Makkah Region, Saudi Arabia. </w:t>
      </w:r>
      <w:r w:rsidRPr="0030673B">
        <w:rPr>
          <w:i/>
          <w:iCs/>
          <w:lang w:val="en-US"/>
        </w:rPr>
        <w:t>Avicenna journal of medicine</w:t>
      </w:r>
      <w:r w:rsidRPr="0030673B">
        <w:rPr>
          <w:lang w:val="en-US"/>
        </w:rPr>
        <w:t>, </w:t>
      </w:r>
      <w:r w:rsidRPr="0030673B">
        <w:rPr>
          <w:i/>
          <w:iCs/>
          <w:lang w:val="en-US"/>
        </w:rPr>
        <w:t>5</w:t>
      </w:r>
      <w:r w:rsidRPr="0030673B">
        <w:rPr>
          <w:lang w:val="en-US"/>
        </w:rPr>
        <w:t>(01), 1-5.</w:t>
      </w:r>
    </w:p>
    <w:p w:rsidR="0030673B" w:rsidRPr="0030673B" w:rsidRDefault="0030673B" w:rsidP="0030673B">
      <w:pPr>
        <w:numPr>
          <w:ilvl w:val="0"/>
          <w:numId w:val="18"/>
        </w:numPr>
        <w:rPr>
          <w:lang w:val="en-US"/>
        </w:rPr>
      </w:pPr>
      <w:r w:rsidRPr="0030673B">
        <w:rPr>
          <w:lang w:val="en-US"/>
        </w:rPr>
        <w:t>Shaller, D. (2007). Patient-centered care: what does it take? (pp. 1-26). New York: Commonwealth Fund.</w:t>
      </w:r>
    </w:p>
    <w:p w:rsidR="0030673B" w:rsidRPr="0030673B" w:rsidRDefault="0030673B" w:rsidP="0030673B">
      <w:pPr>
        <w:numPr>
          <w:ilvl w:val="0"/>
          <w:numId w:val="18"/>
        </w:numPr>
      </w:pPr>
      <w:r w:rsidRPr="0030673B">
        <w:t>Shaller, D. (2007). Patient-</w:t>
      </w:r>
      <w:proofErr w:type="spellStart"/>
      <w:r w:rsidRPr="0030673B">
        <w:t>centered</w:t>
      </w:r>
      <w:proofErr w:type="spellEnd"/>
      <w:r w:rsidRPr="0030673B">
        <w:t xml:space="preserve"> care: what does it take? (pp. 1-26). New York: Commonwealth Fund.</w:t>
      </w:r>
    </w:p>
    <w:p w:rsidR="0030673B" w:rsidRPr="0030673B" w:rsidRDefault="0030673B" w:rsidP="0030673B">
      <w:pPr>
        <w:numPr>
          <w:ilvl w:val="0"/>
          <w:numId w:val="18"/>
        </w:numPr>
      </w:pPr>
      <w:r w:rsidRPr="0030673B">
        <w:t>Sharma, O. P. (1970). Improving patient satisfaction. Hosp Assoc, 7(1), 5.</w:t>
      </w:r>
    </w:p>
    <w:p w:rsidR="0030673B" w:rsidRPr="0030673B" w:rsidRDefault="0030673B" w:rsidP="0030673B">
      <w:pPr>
        <w:numPr>
          <w:ilvl w:val="0"/>
          <w:numId w:val="18"/>
        </w:numPr>
        <w:rPr>
          <w:lang w:val="en-US"/>
        </w:rPr>
      </w:pPr>
      <w:r w:rsidRPr="0030673B">
        <w:rPr>
          <w:lang w:val="en-US"/>
        </w:rPr>
        <w:t>Sharp, S., </w:t>
      </w:r>
      <w:proofErr w:type="spellStart"/>
      <w:r w:rsidRPr="0030673B">
        <w:rPr>
          <w:lang w:val="en-US"/>
        </w:rPr>
        <w:t>Mcallister</w:t>
      </w:r>
      <w:proofErr w:type="spellEnd"/>
      <w:r w:rsidRPr="0030673B">
        <w:rPr>
          <w:lang w:val="en-US"/>
        </w:rPr>
        <w:t>, M., &amp; Broadbent, M. (2018). The tension between person centered and task focused care in an acute surgical setting: A critical ethnography. </w:t>
      </w:r>
      <w:r w:rsidRPr="0030673B">
        <w:rPr>
          <w:i/>
          <w:iCs/>
          <w:lang w:val="en-US"/>
        </w:rPr>
        <w:t>Collegian</w:t>
      </w:r>
      <w:r w:rsidRPr="0030673B">
        <w:rPr>
          <w:lang w:val="en-US"/>
        </w:rPr>
        <w:t>, </w:t>
      </w:r>
      <w:r w:rsidRPr="0030673B">
        <w:rPr>
          <w:b/>
          <w:bCs/>
          <w:lang w:val="en-US"/>
        </w:rPr>
        <w:t>25</w:t>
      </w:r>
      <w:r w:rsidRPr="0030673B">
        <w:rPr>
          <w:lang w:val="en-US"/>
        </w:rPr>
        <w:t>(1), 11–17. </w:t>
      </w:r>
      <w:hyperlink r:id="rId64" w:history="1">
        <w:r w:rsidRPr="0030673B">
          <w:rPr>
            <w:rStyle w:val="Hyperlink"/>
            <w:lang w:val="en-US"/>
          </w:rPr>
          <w:t>https://doi.org/10.1016/j.colegn.2017.02.002</w:t>
        </w:r>
      </w:hyperlink>
    </w:p>
    <w:p w:rsidR="0030673B" w:rsidRPr="0030673B" w:rsidRDefault="0030673B" w:rsidP="0030673B">
      <w:pPr>
        <w:numPr>
          <w:ilvl w:val="0"/>
          <w:numId w:val="18"/>
        </w:numPr>
        <w:rPr>
          <w:lang w:val="en-US"/>
        </w:rPr>
      </w:pPr>
      <w:proofErr w:type="spellStart"/>
      <w:r w:rsidRPr="0030673B">
        <w:rPr>
          <w:lang w:val="en-US"/>
        </w:rPr>
        <w:t>Shekelle</w:t>
      </w:r>
      <w:proofErr w:type="spellEnd"/>
      <w:r w:rsidRPr="0030673B">
        <w:rPr>
          <w:lang w:val="en-US"/>
        </w:rPr>
        <w:t xml:space="preserve">, P. G., Morton, S. C., &amp; Keeler, E. B. (2006). Costs and benefits of health information technology. Evidence report/technology assessment, (132), 1-71. </w:t>
      </w:r>
      <w:hyperlink r:id="rId65" w:history="1">
        <w:r w:rsidRPr="0030673B">
          <w:rPr>
            <w:rStyle w:val="Hyperlink"/>
            <w:lang w:val="en-US"/>
          </w:rPr>
          <w:t>https://doi.org/10.23970/ahrqepcerta132</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Shirley, E., Josephson, G., &amp; Sanders, J. (2016). Fundamentals of patient satisfaction measurement. Physician leadership journal, 3(1), 12.</w:t>
      </w:r>
    </w:p>
    <w:p w:rsidR="0030673B" w:rsidRPr="0030673B" w:rsidRDefault="0030673B" w:rsidP="0030673B">
      <w:pPr>
        <w:numPr>
          <w:ilvl w:val="0"/>
          <w:numId w:val="18"/>
        </w:numPr>
        <w:rPr>
          <w:lang w:val="en-US"/>
        </w:rPr>
      </w:pPr>
      <w:r w:rsidRPr="0030673B">
        <w:rPr>
          <w:lang w:val="en-US"/>
        </w:rPr>
        <w:t xml:space="preserve">Silverman, R. D. (2018). EHRs, EMRs, and health information technology: to meaningful use and beyond: a symposium introduction and overview. Journal of Legal Medicine, 34(1), 1-6. </w:t>
      </w:r>
      <w:hyperlink r:id="rId66" w:history="1">
        <w:r w:rsidRPr="0030673B">
          <w:rPr>
            <w:rStyle w:val="Hyperlink"/>
            <w:lang w:val="en-US"/>
          </w:rPr>
          <w:t>http://dx.doi.org/10.1080/01947648.2018.768134</w:t>
        </w:r>
      </w:hyperlink>
      <w:r w:rsidRPr="0030673B">
        <w:rPr>
          <w:lang w:val="en-US"/>
        </w:rPr>
        <w:t xml:space="preserve"> </w:t>
      </w:r>
    </w:p>
    <w:p w:rsidR="0030673B" w:rsidRPr="0030673B" w:rsidRDefault="0030673B" w:rsidP="0030673B">
      <w:pPr>
        <w:numPr>
          <w:ilvl w:val="0"/>
          <w:numId w:val="18"/>
        </w:numPr>
        <w:rPr>
          <w:lang w:val="en-US"/>
        </w:rPr>
      </w:pPr>
      <w:proofErr w:type="spellStart"/>
      <w:r w:rsidRPr="0030673B">
        <w:rPr>
          <w:lang w:val="en-US"/>
        </w:rPr>
        <w:t>Sitzia</w:t>
      </w:r>
      <w:proofErr w:type="spellEnd"/>
      <w:r w:rsidRPr="0030673B">
        <w:rPr>
          <w:lang w:val="en-US"/>
        </w:rPr>
        <w:t>, J. (1999). How valid and reliable are patient satisfaction data? An analysis of 195 studies. International Journal for Quality in Health Care, 11(4), 319-328.</w:t>
      </w:r>
    </w:p>
    <w:p w:rsidR="0030673B" w:rsidRPr="0030673B" w:rsidRDefault="0030673B" w:rsidP="0030673B">
      <w:pPr>
        <w:numPr>
          <w:ilvl w:val="0"/>
          <w:numId w:val="18"/>
        </w:numPr>
      </w:pPr>
      <w:r w:rsidRPr="0030673B">
        <w:t xml:space="preserve">Sixma HJ, </w:t>
      </w:r>
      <w:proofErr w:type="spellStart"/>
      <w:r w:rsidRPr="0030673B">
        <w:t>Kerssens</w:t>
      </w:r>
      <w:proofErr w:type="spellEnd"/>
      <w:r w:rsidRPr="0030673B">
        <w:t xml:space="preserve"> JJ, Campen CV, Peters L. Quality of care from the patients' perspective: from theoretical concept to a new measuring instrument. Health Expect. 2020 Nov;1(2):82-95. </w:t>
      </w:r>
      <w:proofErr w:type="spellStart"/>
      <w:r w:rsidRPr="0030673B">
        <w:t>doi</w:t>
      </w:r>
      <w:proofErr w:type="spellEnd"/>
      <w:r w:rsidRPr="0030673B">
        <w:t>: 10.1046/j.1369-6513.2020.00004. x. PMID: 11281863; PMCID: PMC5139902.</w:t>
      </w:r>
    </w:p>
    <w:p w:rsidR="0030673B" w:rsidRPr="0030673B" w:rsidRDefault="0030673B" w:rsidP="0030673B">
      <w:pPr>
        <w:numPr>
          <w:ilvl w:val="0"/>
          <w:numId w:val="18"/>
        </w:numPr>
        <w:rPr>
          <w:lang w:val="en-US"/>
        </w:rPr>
      </w:pPr>
      <w:proofErr w:type="spellStart"/>
      <w:r w:rsidRPr="0030673B">
        <w:rPr>
          <w:lang w:val="en-US"/>
        </w:rPr>
        <w:t>Skudal</w:t>
      </w:r>
      <w:proofErr w:type="spellEnd"/>
      <w:r w:rsidRPr="0030673B">
        <w:rPr>
          <w:lang w:val="en-US"/>
        </w:rPr>
        <w:t xml:space="preserve">, K. E., Garratt, A. M., Eriksson, B., Leinonen, T., Simonsen, J., &amp; </w:t>
      </w:r>
      <w:proofErr w:type="spellStart"/>
      <w:r w:rsidRPr="0030673B">
        <w:rPr>
          <w:lang w:val="en-US"/>
        </w:rPr>
        <w:t>Bjertnaes</w:t>
      </w:r>
      <w:proofErr w:type="spellEnd"/>
      <w:r w:rsidRPr="0030673B">
        <w:rPr>
          <w:lang w:val="en-US"/>
        </w:rPr>
        <w:t xml:space="preserve">, O. A. (2019). The Nordic Patient Experiences Questionnaire (NORPEQ): cross-national comparison of data quality, internal consistency and validity in four Nordic countries. BMJ open, 2(3), e000864. </w:t>
      </w:r>
      <w:hyperlink r:id="rId67" w:history="1">
        <w:r w:rsidRPr="0030673B">
          <w:rPr>
            <w:rStyle w:val="Hyperlink"/>
            <w:lang w:val="en-US"/>
          </w:rPr>
          <w:t>http://dx.doi.org/10.1136/bmjopen-2019-000864</w:t>
        </w:r>
      </w:hyperlink>
      <w:r w:rsidRPr="0030673B">
        <w:rPr>
          <w:lang w:val="en-US"/>
        </w:rPr>
        <w:t xml:space="preserve"> </w:t>
      </w:r>
    </w:p>
    <w:p w:rsidR="0030673B" w:rsidRPr="0030673B" w:rsidRDefault="0030673B" w:rsidP="0030673B">
      <w:pPr>
        <w:numPr>
          <w:ilvl w:val="0"/>
          <w:numId w:val="18"/>
        </w:numPr>
      </w:pPr>
      <w:proofErr w:type="spellStart"/>
      <w:r w:rsidRPr="0030673B">
        <w:t>Sockolow</w:t>
      </w:r>
      <w:proofErr w:type="spellEnd"/>
      <w:r w:rsidRPr="0030673B">
        <w:t xml:space="preserve">, P. S., Bowles, K. H., &amp; Rogers, M. L. (2015, January). Health Information Technology Evaluation Framework (HITREF) Comprehensiveness as Assessed in Electronic Point-of-Care Documentation Systems Evaluations. In </w:t>
      </w:r>
      <w:proofErr w:type="spellStart"/>
      <w:r w:rsidRPr="0030673B">
        <w:t>MedInfo</w:t>
      </w:r>
      <w:proofErr w:type="spellEnd"/>
      <w:r w:rsidRPr="0030673B">
        <w:t xml:space="preserve"> (pp. 406-409).</w:t>
      </w:r>
    </w:p>
    <w:p w:rsidR="0030673B" w:rsidRPr="0030673B" w:rsidRDefault="0030673B" w:rsidP="0030673B">
      <w:pPr>
        <w:numPr>
          <w:ilvl w:val="0"/>
          <w:numId w:val="18"/>
        </w:numPr>
        <w:rPr>
          <w:lang w:val="en-US"/>
        </w:rPr>
      </w:pPr>
      <w:proofErr w:type="spellStart"/>
      <w:r w:rsidRPr="0030673B">
        <w:rPr>
          <w:lang w:val="en-US"/>
        </w:rPr>
        <w:t>Soleimanpour</w:t>
      </w:r>
      <w:proofErr w:type="spellEnd"/>
      <w:r w:rsidRPr="0030673B">
        <w:rPr>
          <w:lang w:val="en-US"/>
        </w:rPr>
        <w:t xml:space="preserve">, H., </w:t>
      </w:r>
      <w:proofErr w:type="spellStart"/>
      <w:r w:rsidRPr="0030673B">
        <w:rPr>
          <w:lang w:val="en-US"/>
        </w:rPr>
        <w:t>Gholipouri</w:t>
      </w:r>
      <w:proofErr w:type="spellEnd"/>
      <w:r w:rsidRPr="0030673B">
        <w:rPr>
          <w:lang w:val="en-US"/>
        </w:rPr>
        <w:t xml:space="preserve">, C., </w:t>
      </w:r>
      <w:proofErr w:type="spellStart"/>
      <w:r w:rsidRPr="0030673B">
        <w:rPr>
          <w:lang w:val="en-US"/>
        </w:rPr>
        <w:t>Salarilak</w:t>
      </w:r>
      <w:proofErr w:type="spellEnd"/>
      <w:r w:rsidRPr="0030673B">
        <w:rPr>
          <w:lang w:val="en-US"/>
        </w:rPr>
        <w:t xml:space="preserve">, S., Raoufi, P., Vahidi, R. G., Rouhi, A. J., ... &amp; </w:t>
      </w:r>
      <w:proofErr w:type="spellStart"/>
      <w:r w:rsidRPr="0030673B">
        <w:rPr>
          <w:lang w:val="en-US"/>
        </w:rPr>
        <w:t>Soleimanpour</w:t>
      </w:r>
      <w:proofErr w:type="spellEnd"/>
      <w:r w:rsidRPr="0030673B">
        <w:rPr>
          <w:lang w:val="en-US"/>
        </w:rPr>
        <w:t xml:space="preserve">, M. (2011). Emergency department patient satisfaction survey in Imam Reza hospital, </w:t>
      </w:r>
      <w:r w:rsidRPr="0030673B">
        <w:rPr>
          <w:lang w:val="en-US"/>
        </w:rPr>
        <w:lastRenderedPageBreak/>
        <w:t xml:space="preserve">Tabriz, Iran. International journal of emergency medicine, 4(1), 1-7. </w:t>
      </w:r>
      <w:hyperlink r:id="rId68" w:history="1">
        <w:r w:rsidRPr="0030673B">
          <w:rPr>
            <w:rStyle w:val="Hyperlink"/>
            <w:lang w:val="en-US"/>
          </w:rPr>
          <w:t>http://dx.doi.org/10.1186/1865-1380-4-2</w:t>
        </w:r>
      </w:hyperlink>
      <w:r w:rsidRPr="0030673B">
        <w:rPr>
          <w:lang w:val="en-US"/>
        </w:rPr>
        <w:t xml:space="preserve"> </w:t>
      </w:r>
    </w:p>
    <w:p w:rsidR="0030673B" w:rsidRPr="0030673B" w:rsidRDefault="0030673B" w:rsidP="0030673B">
      <w:pPr>
        <w:numPr>
          <w:ilvl w:val="0"/>
          <w:numId w:val="18"/>
        </w:numPr>
      </w:pPr>
      <w:r w:rsidRPr="0030673B">
        <w:t>Sridhar, M. S. (2008). Research Methodology Part 1: Introduction to Research &amp; Research Methodology.</w:t>
      </w:r>
    </w:p>
    <w:p w:rsidR="0030673B" w:rsidRPr="0030673B" w:rsidRDefault="0030673B" w:rsidP="0030673B">
      <w:pPr>
        <w:numPr>
          <w:ilvl w:val="0"/>
          <w:numId w:val="18"/>
        </w:numPr>
        <w:rPr>
          <w:lang w:val="en-US"/>
        </w:rPr>
      </w:pPr>
      <w:r w:rsidRPr="0030673B">
        <w:rPr>
          <w:lang w:val="en-US"/>
        </w:rPr>
        <w:t xml:space="preserve">Stewart, M. (2001). Towards a global definition of patient centered care: the patient should be the judge of patient centered care. </w:t>
      </w:r>
      <w:proofErr w:type="spellStart"/>
      <w:r w:rsidRPr="0030673B">
        <w:rPr>
          <w:lang w:val="en-US"/>
        </w:rPr>
        <w:t>Bmj</w:t>
      </w:r>
      <w:proofErr w:type="spellEnd"/>
      <w:r w:rsidRPr="0030673B">
        <w:rPr>
          <w:lang w:val="en-US"/>
        </w:rPr>
        <w:t xml:space="preserve">, 322(7284), 444-445. </w:t>
      </w:r>
    </w:p>
    <w:p w:rsidR="0030673B" w:rsidRPr="0030673B" w:rsidRDefault="0030673B" w:rsidP="0030673B">
      <w:pPr>
        <w:numPr>
          <w:ilvl w:val="0"/>
          <w:numId w:val="18"/>
        </w:numPr>
      </w:pPr>
      <w:r w:rsidRPr="0030673B">
        <w:t>Sweet, M. G. (2004). A patient-</w:t>
      </w:r>
      <w:proofErr w:type="spellStart"/>
      <w:r w:rsidRPr="0030673B">
        <w:t>centered</w:t>
      </w:r>
      <w:proofErr w:type="spellEnd"/>
      <w:r w:rsidRPr="0030673B">
        <w:t xml:space="preserve"> approach to chronic disease management: by collaborating effectively with patients who have chronic disease, clinicians can provide the kind of care that increases adherence, improves outcomes, and promotes better quality of life. JAAPA-Journal of the American Academy of Physicians Assistants, 17(11), 25-29.</w:t>
      </w:r>
    </w:p>
    <w:p w:rsidR="0030673B" w:rsidRPr="0030673B" w:rsidRDefault="0030673B" w:rsidP="0030673B">
      <w:pPr>
        <w:numPr>
          <w:ilvl w:val="0"/>
          <w:numId w:val="18"/>
        </w:numPr>
      </w:pPr>
      <w:proofErr w:type="spellStart"/>
      <w:r w:rsidRPr="0030673B">
        <w:t>Taherdoost</w:t>
      </w:r>
      <w:proofErr w:type="spellEnd"/>
      <w:r w:rsidRPr="0030673B">
        <w:t>, H. (2016). Sampling methods in research methodology; how to choose a sampling technique for research. How to choose a sampling technique for research (April 10, 2016).</w:t>
      </w:r>
    </w:p>
    <w:p w:rsidR="0030673B" w:rsidRPr="0030673B" w:rsidRDefault="0030673B" w:rsidP="0030673B">
      <w:pPr>
        <w:numPr>
          <w:ilvl w:val="0"/>
          <w:numId w:val="18"/>
        </w:numPr>
        <w:rPr>
          <w:lang w:val="en-US"/>
        </w:rPr>
      </w:pPr>
      <w:r w:rsidRPr="0030673B">
        <w:rPr>
          <w:lang w:val="en-US"/>
        </w:rPr>
        <w:t xml:space="preserve">Tartaglione, A. M., </w:t>
      </w:r>
      <w:proofErr w:type="spellStart"/>
      <w:r w:rsidRPr="0030673B">
        <w:rPr>
          <w:lang w:val="en-US"/>
        </w:rPr>
        <w:t>Cavacece</w:t>
      </w:r>
      <w:proofErr w:type="spellEnd"/>
      <w:r w:rsidRPr="0030673B">
        <w:rPr>
          <w:lang w:val="en-US"/>
        </w:rPr>
        <w:t>, Y., Cassia, F., &amp; Russo, G. The excellence of patient-centered healthcare: Investigating the links between empowerment, co-creation and satisfaction. The TQM Journal. 2018 30(2):153-167. https://doi.org/10.1108/TQM-11-2017-0138</w:t>
      </w:r>
    </w:p>
    <w:p w:rsidR="0030673B" w:rsidRPr="0030673B" w:rsidRDefault="0030673B" w:rsidP="0030673B">
      <w:pPr>
        <w:numPr>
          <w:ilvl w:val="0"/>
          <w:numId w:val="18"/>
        </w:numPr>
        <w:rPr>
          <w:lang w:val="en-US"/>
        </w:rPr>
      </w:pPr>
      <w:r w:rsidRPr="0030673B">
        <w:rPr>
          <w:lang w:val="en-US"/>
        </w:rPr>
        <w:t xml:space="preserve">Tende C, Phiri O, Kasonde IC, Chitundu K, Mbewe N, Zulu C, Mwelwa MM. Patient satisfaction with the quality of care provided by student nurses at Ndola Teaching Hospital in Ndola, Zambia. Journal of Nursing Education and Practice. 2022;12(2). </w:t>
      </w:r>
    </w:p>
    <w:p w:rsidR="0030673B" w:rsidRPr="0030673B" w:rsidRDefault="0030673B" w:rsidP="0030673B">
      <w:pPr>
        <w:numPr>
          <w:ilvl w:val="0"/>
          <w:numId w:val="18"/>
        </w:numPr>
        <w:rPr>
          <w:lang w:val="en-US"/>
        </w:rPr>
      </w:pPr>
      <w:r w:rsidRPr="0030673B">
        <w:rPr>
          <w:lang w:val="en-US"/>
        </w:rPr>
        <w:t>Thayaparan, A. J., &amp; Mahdi, E. (2018). The Patient Satisfaction Questionnaire Short Form (PSQ-18) as an adaptable, reliable, and validated tool for use in various settings. Medical education online, 18, 21747. https://doi.org/10.3402/meo.v18i0.21747</w:t>
      </w:r>
    </w:p>
    <w:p w:rsidR="0030673B" w:rsidRPr="0030673B" w:rsidRDefault="0030673B" w:rsidP="0030673B">
      <w:pPr>
        <w:numPr>
          <w:ilvl w:val="0"/>
          <w:numId w:val="18"/>
        </w:numPr>
        <w:rPr>
          <w:lang w:val="en-US"/>
        </w:rPr>
      </w:pPr>
      <w:r w:rsidRPr="0030673B">
        <w:rPr>
          <w:lang w:val="en-US"/>
        </w:rPr>
        <w:t xml:space="preserve">The National Learning Consortium (NLC). (2018, November 13). Health IT Patient Satisfaction Survey. HealthIT.Gov. </w:t>
      </w:r>
      <w:hyperlink r:id="rId69" w:history="1">
        <w:r w:rsidRPr="0030673B">
          <w:rPr>
            <w:rStyle w:val="Hyperlink"/>
            <w:lang w:val="en-US"/>
          </w:rPr>
          <w:t>https://www.healthit.gov/resource/health-it-patient-satisfaction-survey</w:t>
        </w:r>
      </w:hyperlink>
      <w:r w:rsidRPr="0030673B">
        <w:rPr>
          <w:lang w:val="en-US"/>
        </w:rPr>
        <w:t xml:space="preserve"> </w:t>
      </w:r>
    </w:p>
    <w:p w:rsidR="0030673B" w:rsidRPr="0030673B" w:rsidRDefault="0030673B" w:rsidP="0030673B">
      <w:pPr>
        <w:numPr>
          <w:ilvl w:val="0"/>
          <w:numId w:val="18"/>
        </w:numPr>
        <w:rPr>
          <w:lang w:val="en-US"/>
        </w:rPr>
      </w:pPr>
      <w:r w:rsidRPr="0030673B">
        <w:rPr>
          <w:lang w:val="en-US"/>
        </w:rPr>
        <w:t xml:space="preserve">Topaz, M., Bar-Bachar, O., Admi, H., </w:t>
      </w:r>
      <w:proofErr w:type="spellStart"/>
      <w:r w:rsidRPr="0030673B">
        <w:rPr>
          <w:lang w:val="en-US"/>
        </w:rPr>
        <w:t>Denekamp</w:t>
      </w:r>
      <w:proofErr w:type="spellEnd"/>
      <w:r w:rsidRPr="0030673B">
        <w:rPr>
          <w:lang w:val="en-US"/>
        </w:rPr>
        <w:t xml:space="preserve">, Y., &amp; </w:t>
      </w:r>
      <w:proofErr w:type="spellStart"/>
      <w:r w:rsidRPr="0030673B">
        <w:rPr>
          <w:lang w:val="en-US"/>
        </w:rPr>
        <w:t>Zimlichman</w:t>
      </w:r>
      <w:proofErr w:type="spellEnd"/>
      <w:r w:rsidRPr="0030673B">
        <w:rPr>
          <w:lang w:val="en-US"/>
        </w:rPr>
        <w:t xml:space="preserve">, E. (2020). Patient-centered care via health information technology: a qualitative study with experts from Israel and the US. Informatics for Health and Social Care, 45(3), 217-228. </w:t>
      </w:r>
      <w:hyperlink r:id="rId70" w:history="1">
        <w:r w:rsidRPr="0030673B">
          <w:rPr>
            <w:rStyle w:val="Hyperlink"/>
            <w:lang w:val="en-US"/>
          </w:rPr>
          <w:t>https://doi.org/10.1080/17538157.2019.1582055</w:t>
        </w:r>
      </w:hyperlink>
      <w:r w:rsidRPr="0030673B">
        <w:rPr>
          <w:lang w:val="en-US"/>
        </w:rPr>
        <w:t xml:space="preserve"> </w:t>
      </w:r>
    </w:p>
    <w:p w:rsidR="0030673B" w:rsidRPr="0030673B" w:rsidRDefault="0030673B" w:rsidP="0030673B">
      <w:pPr>
        <w:numPr>
          <w:ilvl w:val="0"/>
          <w:numId w:val="18"/>
        </w:numPr>
      </w:pPr>
      <w:r w:rsidRPr="0030673B">
        <w:t xml:space="preserve">Tung, Y. C., &amp; Chang, G. M. (2009). Patient satisfaction with and recommendation of a primary care provider: associations of perceived quality and patient education. International Journal for Quality in Health Care, 21(3), 206-213. https://doi.org/10.1093/intqhc/mzp006 </w:t>
      </w:r>
    </w:p>
    <w:p w:rsidR="0030673B" w:rsidRPr="0030673B" w:rsidRDefault="0030673B" w:rsidP="0030673B">
      <w:pPr>
        <w:numPr>
          <w:ilvl w:val="0"/>
          <w:numId w:val="18"/>
        </w:numPr>
        <w:rPr>
          <w:lang w:val="en-US"/>
        </w:rPr>
      </w:pPr>
      <w:proofErr w:type="spellStart"/>
      <w:r w:rsidRPr="0030673B">
        <w:rPr>
          <w:lang w:val="en-US"/>
        </w:rPr>
        <w:t>Urden</w:t>
      </w:r>
      <w:proofErr w:type="spellEnd"/>
      <w:r w:rsidRPr="0030673B">
        <w:rPr>
          <w:lang w:val="en-US"/>
        </w:rPr>
        <w:t>, L. D. (2002). Patient satisfaction measurement: current issues and implications. Professional case management, 7(5), 194-200.</w:t>
      </w:r>
    </w:p>
    <w:p w:rsidR="0030673B" w:rsidRPr="0030673B" w:rsidRDefault="0030673B" w:rsidP="0030673B">
      <w:pPr>
        <w:numPr>
          <w:ilvl w:val="0"/>
          <w:numId w:val="18"/>
        </w:numPr>
        <w:rPr>
          <w:lang w:val="en-US"/>
        </w:rPr>
      </w:pPr>
      <w:r w:rsidRPr="0030673B">
        <w:rPr>
          <w:lang w:val="en-US"/>
        </w:rPr>
        <w:lastRenderedPageBreak/>
        <w:t xml:space="preserve">US Department of Health and Human Services. (2019). Agency for Healthcare Research and Quality, Consumer Assessment of Healthcare Providers and Systems (CAHPS). About the CAHPS cultural competence item set. 2019Available at </w:t>
      </w:r>
      <w:hyperlink r:id="rId71" w:history="1">
        <w:r w:rsidRPr="0030673B">
          <w:rPr>
            <w:rStyle w:val="Hyperlink"/>
            <w:lang w:val="en-US"/>
          </w:rPr>
          <w:t>https://www.ahrq</w:t>
        </w:r>
      </w:hyperlink>
      <w:r w:rsidRPr="0030673B">
        <w:rPr>
          <w:lang w:val="en-US"/>
        </w:rPr>
        <w:t>. gov/sites/default/files/</w:t>
      </w:r>
      <w:proofErr w:type="spellStart"/>
      <w:r w:rsidRPr="0030673B">
        <w:rPr>
          <w:lang w:val="en-US"/>
        </w:rPr>
        <w:t>wysiwyg</w:t>
      </w:r>
      <w:proofErr w:type="spellEnd"/>
      <w:r w:rsidRPr="0030673B">
        <w:rPr>
          <w:lang w:val="en-US"/>
        </w:rPr>
        <w:t>/</w:t>
      </w:r>
      <w:proofErr w:type="spellStart"/>
      <w:r w:rsidRPr="0030673B">
        <w:rPr>
          <w:lang w:val="en-US"/>
        </w:rPr>
        <w:t>cahps</w:t>
      </w:r>
      <w:proofErr w:type="spellEnd"/>
      <w:r w:rsidRPr="0030673B">
        <w:rPr>
          <w:lang w:val="en-US"/>
        </w:rPr>
        <w:t>/surveys-guidance/survey4.0 docs/2312_about_cultural_comp.pdf. Accessed May 29, 2022.</w:t>
      </w:r>
    </w:p>
    <w:p w:rsidR="0030673B" w:rsidRPr="0030673B" w:rsidRDefault="0030673B" w:rsidP="0030673B">
      <w:pPr>
        <w:numPr>
          <w:ilvl w:val="0"/>
          <w:numId w:val="18"/>
        </w:numPr>
      </w:pPr>
      <w:r w:rsidRPr="0030673B">
        <w:t>Vasileiou, K., Barnett, J., Thorpe, S., &amp; Young, T. (2018). Characterising and justifying sample size sufficiency in interview-based studies: systematic analysis of qualitative health research over a 15-year period. BMC medical research methodology, 18(1), 1-18.</w:t>
      </w:r>
    </w:p>
    <w:p w:rsidR="0030673B" w:rsidRPr="0030673B" w:rsidRDefault="0030673B" w:rsidP="0030673B">
      <w:pPr>
        <w:numPr>
          <w:ilvl w:val="0"/>
          <w:numId w:val="18"/>
        </w:numPr>
        <w:rPr>
          <w:lang w:val="en-US"/>
        </w:rPr>
      </w:pPr>
      <w:r w:rsidRPr="0030673B">
        <w:rPr>
          <w:lang w:val="en-US"/>
        </w:rPr>
        <w:t xml:space="preserve">Vaz NF. Patient satisfaction. </w:t>
      </w:r>
      <w:proofErr w:type="spellStart"/>
      <w:r w:rsidRPr="0030673B">
        <w:rPr>
          <w:lang w:val="en-US"/>
        </w:rPr>
        <w:t>InHealthcare</w:t>
      </w:r>
      <w:proofErr w:type="spellEnd"/>
      <w:r w:rsidRPr="0030673B">
        <w:rPr>
          <w:lang w:val="en-US"/>
        </w:rPr>
        <w:t xml:space="preserve"> Administration for Patient Safety and Engagement 2018 (pp. 186-200). IGI Global. </w:t>
      </w:r>
    </w:p>
    <w:p w:rsidR="0030673B" w:rsidRPr="0030673B" w:rsidRDefault="0030673B" w:rsidP="0030673B">
      <w:pPr>
        <w:numPr>
          <w:ilvl w:val="0"/>
          <w:numId w:val="18"/>
        </w:numPr>
        <w:rPr>
          <w:lang w:val="en-US"/>
        </w:rPr>
      </w:pPr>
      <w:r w:rsidRPr="0030673B">
        <w:rPr>
          <w:lang w:val="en-US"/>
        </w:rPr>
        <w:t xml:space="preserve">Vest, J. R., &amp; Miller, T. R. (2011). The association between health information exchange and measures of patient satisfaction. Applied clinical informatics, 2(04), 447-459. DOI: 10.4338/ACI-2011-06-RA-0040 </w:t>
      </w:r>
    </w:p>
    <w:p w:rsidR="0030673B" w:rsidRPr="0030673B" w:rsidRDefault="0030673B" w:rsidP="0030673B">
      <w:pPr>
        <w:numPr>
          <w:ilvl w:val="0"/>
          <w:numId w:val="18"/>
        </w:numPr>
        <w:rPr>
          <w:lang w:val="en-US"/>
        </w:rPr>
      </w:pPr>
      <w:r w:rsidRPr="0030673B">
        <w:rPr>
          <w:lang w:val="en-US"/>
        </w:rPr>
        <w:t xml:space="preserve">Wali, R. M., Alqahtani, R. M., </w:t>
      </w:r>
      <w:proofErr w:type="spellStart"/>
      <w:r w:rsidRPr="0030673B">
        <w:rPr>
          <w:lang w:val="en-US"/>
        </w:rPr>
        <w:t>Alharazi</w:t>
      </w:r>
      <w:proofErr w:type="spellEnd"/>
      <w:r w:rsidRPr="0030673B">
        <w:rPr>
          <w:lang w:val="en-US"/>
        </w:rPr>
        <w:t xml:space="preserve">, S. K., Bukhari, S. A., &amp; </w:t>
      </w:r>
      <w:proofErr w:type="spellStart"/>
      <w:r w:rsidRPr="0030673B">
        <w:rPr>
          <w:lang w:val="en-US"/>
        </w:rPr>
        <w:t>Quqandi</w:t>
      </w:r>
      <w:proofErr w:type="spellEnd"/>
      <w:r w:rsidRPr="0030673B">
        <w:rPr>
          <w:lang w:val="en-US"/>
        </w:rPr>
        <w:t>, S. M. (2020). Patient satisfaction with the implementation of electronic medical Records in the Western Region, Saudi Arabia, 2018. </w:t>
      </w:r>
      <w:r w:rsidRPr="0030673B">
        <w:rPr>
          <w:i/>
          <w:iCs/>
          <w:lang w:val="en-US"/>
        </w:rPr>
        <w:t>BMC family practice</w:t>
      </w:r>
      <w:r w:rsidRPr="0030673B">
        <w:rPr>
          <w:lang w:val="en-US"/>
        </w:rPr>
        <w:t>, </w:t>
      </w:r>
      <w:r w:rsidRPr="0030673B">
        <w:rPr>
          <w:i/>
          <w:iCs/>
          <w:lang w:val="en-US"/>
        </w:rPr>
        <w:t>21</w:t>
      </w:r>
      <w:r w:rsidRPr="0030673B">
        <w:rPr>
          <w:lang w:val="en-US"/>
        </w:rPr>
        <w:t>(1), 1-6.</w:t>
      </w:r>
    </w:p>
    <w:p w:rsidR="0030673B" w:rsidRPr="0030673B" w:rsidRDefault="0030673B" w:rsidP="0030673B">
      <w:pPr>
        <w:numPr>
          <w:ilvl w:val="0"/>
          <w:numId w:val="18"/>
        </w:numPr>
        <w:rPr>
          <w:lang w:val="en-US"/>
        </w:rPr>
      </w:pPr>
      <w:r w:rsidRPr="0030673B">
        <w:rPr>
          <w:lang w:val="en-US"/>
        </w:rPr>
        <w:t xml:space="preserve">Walston S, Al-Harbi Y, Al-Omar B. The changing face of healthcare in Saudi Arabia. Ann Saudi Med. 2008 Jul-Aug;28(4):243-50. </w:t>
      </w:r>
      <w:proofErr w:type="spellStart"/>
      <w:r w:rsidRPr="0030673B">
        <w:rPr>
          <w:lang w:val="en-US"/>
        </w:rPr>
        <w:t>doi</w:t>
      </w:r>
      <w:proofErr w:type="spellEnd"/>
      <w:r w:rsidRPr="0030673B">
        <w:rPr>
          <w:lang w:val="en-US"/>
        </w:rPr>
        <w:t xml:space="preserve">: 10.5144/0256-4947.2008.243. PMID: 18596400; PMCID: PMC6074349. </w:t>
      </w:r>
    </w:p>
    <w:p w:rsidR="0030673B" w:rsidRPr="0030673B" w:rsidRDefault="0030673B" w:rsidP="0030673B">
      <w:pPr>
        <w:numPr>
          <w:ilvl w:val="0"/>
          <w:numId w:val="18"/>
        </w:numPr>
        <w:rPr>
          <w:lang w:val="en-US"/>
        </w:rPr>
      </w:pPr>
      <w:r w:rsidRPr="0030673B">
        <w:rPr>
          <w:lang w:val="en-US"/>
        </w:rPr>
        <w:t>Ware, J. E., Snyder, M. K., &amp; Wright, W. R. (1976). Development and Validation of Scales to Measure Patient Satisfaction with Health Care Services: Volume One of a Final Report. The University.</w:t>
      </w:r>
    </w:p>
    <w:p w:rsidR="0030673B" w:rsidRPr="0030673B" w:rsidRDefault="0030673B" w:rsidP="0030673B">
      <w:pPr>
        <w:numPr>
          <w:ilvl w:val="0"/>
          <w:numId w:val="18"/>
        </w:numPr>
        <w:rPr>
          <w:lang w:val="en-US"/>
        </w:rPr>
      </w:pPr>
      <w:proofErr w:type="spellStart"/>
      <w:r w:rsidRPr="0030673B">
        <w:rPr>
          <w:lang w:val="en-US"/>
        </w:rPr>
        <w:t>Wendimagegn</w:t>
      </w:r>
      <w:proofErr w:type="spellEnd"/>
      <w:r w:rsidRPr="0030673B">
        <w:rPr>
          <w:lang w:val="en-US"/>
        </w:rPr>
        <w:t xml:space="preserve"> NF, Bezuidenhout MC. Integrating promotive, preventive, and curative health care services at hospitals and health centers in Addis Ababa, Ethiopia. J </w:t>
      </w:r>
      <w:proofErr w:type="spellStart"/>
      <w:r w:rsidRPr="0030673B">
        <w:rPr>
          <w:lang w:val="en-US"/>
        </w:rPr>
        <w:t>Multidiscip</w:t>
      </w:r>
      <w:proofErr w:type="spellEnd"/>
      <w:r w:rsidRPr="0030673B">
        <w:rPr>
          <w:lang w:val="en-US"/>
        </w:rPr>
        <w:t xml:space="preserve"> </w:t>
      </w:r>
      <w:proofErr w:type="spellStart"/>
      <w:r w:rsidRPr="0030673B">
        <w:rPr>
          <w:lang w:val="en-US"/>
        </w:rPr>
        <w:t>Healthc</w:t>
      </w:r>
      <w:proofErr w:type="spellEnd"/>
      <w:r w:rsidRPr="0030673B">
        <w:rPr>
          <w:lang w:val="en-US"/>
        </w:rPr>
        <w:t xml:space="preserve">. 2019 Apr 5; 12:243-255. </w:t>
      </w:r>
      <w:proofErr w:type="spellStart"/>
      <w:r w:rsidRPr="0030673B">
        <w:rPr>
          <w:lang w:val="en-US"/>
        </w:rPr>
        <w:t>doi</w:t>
      </w:r>
      <w:proofErr w:type="spellEnd"/>
      <w:r w:rsidRPr="0030673B">
        <w:rPr>
          <w:lang w:val="en-US"/>
        </w:rPr>
        <w:t xml:space="preserve">: 10.2147/JMDH.S193370. PMID: 31040687; PMCID: PMC6454996. </w:t>
      </w:r>
    </w:p>
    <w:p w:rsidR="0030673B" w:rsidRPr="0030673B" w:rsidRDefault="0030673B" w:rsidP="0030673B">
      <w:pPr>
        <w:numPr>
          <w:ilvl w:val="0"/>
          <w:numId w:val="18"/>
        </w:numPr>
        <w:rPr>
          <w:lang w:val="en-US"/>
        </w:rPr>
      </w:pPr>
      <w:r w:rsidRPr="0030673B">
        <w:rPr>
          <w:lang w:val="en-US"/>
        </w:rPr>
        <w:t>White, B. (1999). Measuring patient satisfaction: how to do it and why to bother. Family practice management, 6(1), 40.</w:t>
      </w:r>
    </w:p>
    <w:p w:rsidR="0030673B" w:rsidRPr="0030673B" w:rsidRDefault="0030673B" w:rsidP="0030673B">
      <w:pPr>
        <w:numPr>
          <w:ilvl w:val="0"/>
          <w:numId w:val="18"/>
        </w:numPr>
        <w:rPr>
          <w:lang w:val="en-US"/>
        </w:rPr>
      </w:pPr>
      <w:r w:rsidRPr="0030673B">
        <w:rPr>
          <w:lang w:val="en-US"/>
        </w:rPr>
        <w:t xml:space="preserve">Wilczynski, O., </w:t>
      </w:r>
      <w:proofErr w:type="spellStart"/>
      <w:r w:rsidRPr="0030673B">
        <w:rPr>
          <w:lang w:val="en-US"/>
        </w:rPr>
        <w:t>Boisbouvier</w:t>
      </w:r>
      <w:proofErr w:type="spellEnd"/>
      <w:r w:rsidRPr="0030673B">
        <w:rPr>
          <w:lang w:val="en-US"/>
        </w:rPr>
        <w:t xml:space="preserve">, A., </w:t>
      </w:r>
      <w:proofErr w:type="spellStart"/>
      <w:r w:rsidRPr="0030673B">
        <w:rPr>
          <w:lang w:val="en-US"/>
        </w:rPr>
        <w:t>Radoszycki</w:t>
      </w:r>
      <w:proofErr w:type="spellEnd"/>
      <w:r w:rsidRPr="0030673B">
        <w:rPr>
          <w:lang w:val="en-US"/>
        </w:rPr>
        <w:t xml:space="preserve">, L., </w:t>
      </w:r>
      <w:proofErr w:type="spellStart"/>
      <w:r w:rsidRPr="0030673B">
        <w:rPr>
          <w:lang w:val="en-US"/>
        </w:rPr>
        <w:t>Cotté</w:t>
      </w:r>
      <w:proofErr w:type="spellEnd"/>
      <w:r w:rsidRPr="0030673B">
        <w:rPr>
          <w:lang w:val="en-US"/>
        </w:rPr>
        <w:t xml:space="preserve">, F.E., Gaudin, A.F. and </w:t>
      </w:r>
      <w:proofErr w:type="spellStart"/>
      <w:r w:rsidRPr="0030673B">
        <w:rPr>
          <w:lang w:val="en-US"/>
        </w:rPr>
        <w:t>Lemasson</w:t>
      </w:r>
      <w:proofErr w:type="spellEnd"/>
      <w:r w:rsidRPr="0030673B">
        <w:rPr>
          <w:lang w:val="en-US"/>
        </w:rPr>
        <w:t xml:space="preserve">, H., 2022. Integrating Quality of Life in the Care Pathway of Cancer Patients Undergoing Immunotherapy Treatment: Descriptive, Cross-sectional Survey of an Online Patient Community's Experiences and Expectations. Journal of medical Internet research, 24(1), p.e25792. </w:t>
      </w:r>
    </w:p>
    <w:p w:rsidR="0030673B" w:rsidRPr="0030673B" w:rsidRDefault="0030673B" w:rsidP="0030673B">
      <w:pPr>
        <w:numPr>
          <w:ilvl w:val="0"/>
          <w:numId w:val="18"/>
        </w:numPr>
        <w:rPr>
          <w:lang w:val="en-US"/>
        </w:rPr>
      </w:pPr>
      <w:r w:rsidRPr="0030673B">
        <w:rPr>
          <w:lang w:val="en-US"/>
        </w:rPr>
        <w:t>Williams, B. (1994). Patient satisfaction: a valid concept? Social science &amp; medicine, 38(4), 509-516.</w:t>
      </w:r>
    </w:p>
    <w:p w:rsidR="0030673B" w:rsidRPr="0030673B" w:rsidRDefault="0030673B" w:rsidP="0030673B">
      <w:pPr>
        <w:numPr>
          <w:ilvl w:val="0"/>
          <w:numId w:val="18"/>
        </w:numPr>
      </w:pPr>
      <w:r w:rsidRPr="0030673B">
        <w:lastRenderedPageBreak/>
        <w:t xml:space="preserve">Wilson, C. (2014). General Interviewing Issues. Interview Techniques for </w:t>
      </w:r>
      <w:proofErr w:type="spellStart"/>
      <w:r w:rsidRPr="0030673B">
        <w:t>ux</w:t>
      </w:r>
      <w:proofErr w:type="spellEnd"/>
      <w:r w:rsidRPr="0030673B">
        <w:t xml:space="preserve"> Practitioners, 113-117. https://doi.org/10.1016/B978-0-12-410393-1.00006-5</w:t>
      </w:r>
    </w:p>
    <w:p w:rsidR="0030673B" w:rsidRPr="0030673B" w:rsidRDefault="0030673B" w:rsidP="0030673B">
      <w:pPr>
        <w:numPr>
          <w:ilvl w:val="0"/>
          <w:numId w:val="18"/>
        </w:numPr>
        <w:rPr>
          <w:lang w:val="en-US"/>
        </w:rPr>
      </w:pPr>
      <w:r w:rsidRPr="0030673B">
        <w:rPr>
          <w:lang w:val="en-US"/>
        </w:rPr>
        <w:t xml:space="preserve">Wu H, Lu N. Service provision, pricing, and patient satisfaction in online health communities. International journal of medical informatics. 2018 Feb 1; 110:77-89. </w:t>
      </w:r>
    </w:p>
    <w:p w:rsidR="0030673B" w:rsidRPr="0030673B" w:rsidRDefault="0030673B" w:rsidP="0030673B">
      <w:pPr>
        <w:numPr>
          <w:ilvl w:val="0"/>
          <w:numId w:val="18"/>
        </w:numPr>
      </w:pPr>
      <w:r w:rsidRPr="0030673B">
        <w:t>Xie, Z., &amp; Or, C. (2017). Associations between waiting times, service times, and patient satisfaction in an endocrinology outpatient department: a time study and questionnaire survey. INQUIRY: The Journal of Health Care Organization, Provision, and Financing, 54, 0046958017739527.</w:t>
      </w:r>
    </w:p>
    <w:p w:rsidR="0030673B" w:rsidRPr="0030673B" w:rsidRDefault="0030673B" w:rsidP="0030673B">
      <w:pPr>
        <w:numPr>
          <w:ilvl w:val="0"/>
          <w:numId w:val="18"/>
        </w:numPr>
      </w:pPr>
      <w:r w:rsidRPr="0030673B">
        <w:t>Yang, F. Y. (2005). Student views concerning evidence and the expert in reasoning a socio‐scientific issue and personal epistemology. Educational Studies, 31(1), 65-84.</w:t>
      </w:r>
    </w:p>
    <w:p w:rsidR="0030673B" w:rsidRPr="0030673B" w:rsidRDefault="0030673B" w:rsidP="0030673B">
      <w:pPr>
        <w:numPr>
          <w:ilvl w:val="0"/>
          <w:numId w:val="18"/>
        </w:numPr>
        <w:rPr>
          <w:lang w:val="en-US"/>
        </w:rPr>
      </w:pPr>
      <w:r w:rsidRPr="0030673B">
        <w:rPr>
          <w:lang w:val="en-US"/>
        </w:rPr>
        <w:t>Yellen, E., Davis, G. C., &amp; Ricard, R. (2002). The measurement of patient satisfaction. Journal of nursing care quality, 16(4), 23–29. https://doi.org/10.1097/00001786-200207000-00005</w:t>
      </w:r>
    </w:p>
    <w:p w:rsidR="0030673B" w:rsidRPr="0030673B" w:rsidRDefault="0030673B" w:rsidP="0030673B">
      <w:pPr>
        <w:numPr>
          <w:ilvl w:val="0"/>
          <w:numId w:val="18"/>
        </w:numPr>
      </w:pPr>
      <w:r w:rsidRPr="0030673B">
        <w:t xml:space="preserve">Yusof, M. M., Kuljis, J., </w:t>
      </w:r>
      <w:proofErr w:type="spellStart"/>
      <w:r w:rsidRPr="0030673B">
        <w:t>Papazafeiropoulou</w:t>
      </w:r>
      <w:proofErr w:type="spellEnd"/>
      <w:r w:rsidRPr="0030673B">
        <w:t xml:space="preserve">, A., &amp; </w:t>
      </w:r>
      <w:proofErr w:type="spellStart"/>
      <w:r w:rsidRPr="0030673B">
        <w:t>Stergioulas</w:t>
      </w:r>
      <w:proofErr w:type="spellEnd"/>
      <w:r w:rsidRPr="0030673B">
        <w:t>, L. K. (2008). An evaluation framework for Health Information Systems: human, organization and technology-fit factors (HOT-fit). International journal of medical informatics, 77(6), 386-398.</w:t>
      </w:r>
    </w:p>
    <w:p w:rsidR="0030673B" w:rsidRPr="0030673B" w:rsidRDefault="0030673B" w:rsidP="0030673B">
      <w:pPr>
        <w:numPr>
          <w:ilvl w:val="0"/>
          <w:numId w:val="18"/>
        </w:numPr>
        <w:rPr>
          <w:lang w:val="en-US"/>
        </w:rPr>
      </w:pPr>
      <w:r w:rsidRPr="0030673B">
        <w:rPr>
          <w:lang w:val="en-US"/>
        </w:rPr>
        <w:t xml:space="preserve">Zaman, T. U., Raheem, T. M. A., Alharbi, G. M., </w:t>
      </w:r>
      <w:proofErr w:type="spellStart"/>
      <w:r w:rsidRPr="0030673B">
        <w:rPr>
          <w:lang w:val="en-US"/>
        </w:rPr>
        <w:t>Shodri</w:t>
      </w:r>
      <w:proofErr w:type="spellEnd"/>
      <w:r w:rsidRPr="0030673B">
        <w:rPr>
          <w:lang w:val="en-US"/>
        </w:rPr>
        <w:t xml:space="preserve">, M. F., </w:t>
      </w:r>
      <w:proofErr w:type="spellStart"/>
      <w:r w:rsidRPr="0030673B">
        <w:rPr>
          <w:lang w:val="en-US"/>
        </w:rPr>
        <w:t>Kutbi</w:t>
      </w:r>
      <w:proofErr w:type="spellEnd"/>
      <w:r w:rsidRPr="0030673B">
        <w:rPr>
          <w:lang w:val="en-US"/>
        </w:rPr>
        <w:t xml:space="preserve">, A. H., Alotaibi, S. M., &amp; </w:t>
      </w:r>
      <w:proofErr w:type="spellStart"/>
      <w:r w:rsidRPr="0030673B">
        <w:rPr>
          <w:lang w:val="en-US"/>
        </w:rPr>
        <w:t>Aldaadi</w:t>
      </w:r>
      <w:proofErr w:type="spellEnd"/>
      <w:r w:rsidRPr="0030673B">
        <w:rPr>
          <w:lang w:val="en-US"/>
        </w:rPr>
        <w:t>, K. S. (2018). E-health and its transformation of healthcare delivery system in Makkah, Saudi Arabia. International Journal of Medical Research &amp; Health Sciences, 7(5), 76-82.</w:t>
      </w:r>
    </w:p>
    <w:p w:rsidR="0030673B" w:rsidRPr="0030673B" w:rsidRDefault="0030673B" w:rsidP="0030673B">
      <w:pPr>
        <w:numPr>
          <w:ilvl w:val="0"/>
          <w:numId w:val="18"/>
        </w:numPr>
      </w:pPr>
      <w:proofErr w:type="spellStart"/>
      <w:r w:rsidRPr="0030673B">
        <w:t>Zhongming</w:t>
      </w:r>
      <w:proofErr w:type="spellEnd"/>
      <w:r w:rsidRPr="0030673B">
        <w:t xml:space="preserve"> Z, </w:t>
      </w:r>
      <w:proofErr w:type="spellStart"/>
      <w:r w:rsidRPr="0030673B">
        <w:t>Linong</w:t>
      </w:r>
      <w:proofErr w:type="spellEnd"/>
      <w:r w:rsidRPr="0030673B">
        <w:t xml:space="preserve"> L, </w:t>
      </w:r>
      <w:proofErr w:type="spellStart"/>
      <w:r w:rsidRPr="0030673B">
        <w:t>Xiaona</w:t>
      </w:r>
      <w:proofErr w:type="spellEnd"/>
      <w:r w:rsidRPr="0030673B">
        <w:t xml:space="preserve"> Y, </w:t>
      </w:r>
      <w:proofErr w:type="spellStart"/>
      <w:r w:rsidRPr="0030673B">
        <w:t>Wangqiang</w:t>
      </w:r>
      <w:proofErr w:type="spellEnd"/>
      <w:r w:rsidRPr="0030673B">
        <w:t xml:space="preserve"> Z, Wei L. Low quality healthcare is increasing the burden of illness and health costs globally. Published 2018 </w:t>
      </w:r>
    </w:p>
    <w:p w:rsidR="0030673B" w:rsidRPr="0030673B" w:rsidRDefault="0030673B" w:rsidP="0030673B">
      <w:pPr>
        <w:rPr>
          <w:b/>
        </w:rPr>
      </w:pPr>
      <w:r w:rsidRPr="0030673B">
        <w:br w:type="page"/>
      </w:r>
    </w:p>
    <w:p w:rsidR="0030673B" w:rsidRPr="0030673B" w:rsidRDefault="0030673B" w:rsidP="0030673B">
      <w:pPr>
        <w:rPr>
          <w:b/>
        </w:rPr>
      </w:pPr>
      <w:r w:rsidRPr="0030673B">
        <w:rPr>
          <w:b/>
        </w:rPr>
        <w:lastRenderedPageBreak/>
        <w:t>ANNEXURE I: INFORMED CONSENT FOR STUDY PARTICIPATION</w:t>
      </w:r>
    </w:p>
    <w:p w:rsidR="0030673B" w:rsidRPr="0030673B" w:rsidRDefault="0030673B" w:rsidP="0030673B">
      <w:r w:rsidRPr="0030673B">
        <w:br w:type="page"/>
      </w:r>
    </w:p>
    <w:p w:rsidR="0030673B" w:rsidRPr="0030673B" w:rsidRDefault="0030673B" w:rsidP="0030673B">
      <w:pPr>
        <w:rPr>
          <w:b/>
        </w:rPr>
      </w:pPr>
      <w:r w:rsidRPr="0030673B">
        <w:rPr>
          <w:b/>
        </w:rPr>
        <w:lastRenderedPageBreak/>
        <w:t>ANNEXURE II: STUDY SURVEY PERFORMA</w:t>
      </w:r>
    </w:p>
    <w:p w:rsidR="0030673B" w:rsidRPr="0030673B" w:rsidRDefault="0030673B" w:rsidP="0030673B">
      <w:pPr>
        <w:rPr>
          <w:b/>
        </w:rPr>
      </w:pPr>
      <w:r w:rsidRPr="0030673B">
        <w:rPr>
          <w:b/>
        </w:rPr>
        <w:t xml:space="preserve">Name of Hospital: </w:t>
      </w:r>
      <w:r w:rsidRPr="0030673B">
        <w:rPr>
          <w:b/>
          <w:u w:val="single"/>
        </w:rPr>
        <w:t xml:space="preserve"> </w:t>
      </w:r>
      <w:r w:rsidRPr="0030673B">
        <w:rPr>
          <w:b/>
          <w:u w:val="single"/>
        </w:rPr>
        <w:tab/>
      </w:r>
    </w:p>
    <w:p w:rsidR="0030673B" w:rsidRPr="0030673B" w:rsidRDefault="0030673B" w:rsidP="0030673B">
      <w:pPr>
        <w:rPr>
          <w:lang w:val="en-US"/>
        </w:rPr>
      </w:pPr>
    </w:p>
    <w:p w:rsidR="0030673B" w:rsidRPr="0030673B" w:rsidRDefault="0030673B" w:rsidP="0030673B">
      <w:pPr>
        <w:rPr>
          <w:b/>
        </w:rPr>
      </w:pPr>
      <w:r w:rsidRPr="0030673B">
        <w:rPr>
          <w:b/>
        </w:rPr>
        <w:t>Survey</w:t>
      </w:r>
      <w:r w:rsidRPr="0030673B">
        <w:rPr>
          <w:b/>
        </w:rPr>
        <w:tab/>
        <w:t>Administration</w:t>
      </w:r>
      <w:r w:rsidRPr="0030673B">
        <w:rPr>
          <w:b/>
        </w:rPr>
        <w:tab/>
        <w:t>Site</w:t>
      </w:r>
      <w:r w:rsidRPr="0030673B">
        <w:rPr>
          <w:b/>
        </w:rPr>
        <w:tab/>
        <w:t>(Name</w:t>
      </w:r>
      <w:r w:rsidRPr="0030673B">
        <w:rPr>
          <w:b/>
        </w:rPr>
        <w:tab/>
        <w:t>of</w:t>
      </w:r>
      <w:r w:rsidRPr="0030673B">
        <w:rPr>
          <w:b/>
        </w:rPr>
        <w:tab/>
        <w:t>Outpatient</w:t>
      </w:r>
      <w:r w:rsidRPr="0030673B">
        <w:rPr>
          <w:b/>
        </w:rPr>
        <w:tab/>
        <w:t>Clinic):</w:t>
      </w:r>
    </w:p>
    <w:p w:rsidR="0030673B" w:rsidRPr="0030673B" w:rsidRDefault="0030673B" w:rsidP="0030673B">
      <w:pPr>
        <w:rPr>
          <w:lang w:val="en-US"/>
        </w:rPr>
      </w:pPr>
    </w:p>
    <w:p w:rsidR="0030673B" w:rsidRPr="0030673B" w:rsidRDefault="0030673B" w:rsidP="0030673B">
      <w:pPr>
        <w:rPr>
          <w:lang w:val="en-US"/>
        </w:rPr>
      </w:pPr>
      <w:r w:rsidRPr="0030673B">
        <w:rPr>
          <w:noProof/>
          <w:lang w:val="en-US"/>
        </w:rPr>
        <mc:AlternateContent>
          <mc:Choice Requires="wps">
            <w:drawing>
              <wp:anchor distT="0" distB="0" distL="0" distR="0" simplePos="0" relativeHeight="251663360" behindDoc="1" locked="0" layoutInCell="1" allowOverlap="1">
                <wp:simplePos x="0" y="0"/>
                <wp:positionH relativeFrom="page">
                  <wp:posOffset>626745</wp:posOffset>
                </wp:positionH>
                <wp:positionV relativeFrom="paragraph">
                  <wp:posOffset>111125</wp:posOffset>
                </wp:positionV>
                <wp:extent cx="2819400" cy="1270"/>
                <wp:effectExtent l="0" t="0" r="0" b="0"/>
                <wp:wrapTopAndBottom/>
                <wp:docPr id="1943861384"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4440" h="1270">
                              <a:moveTo>
                                <a:pt x="0" y="0"/>
                              </a:moveTo>
                              <a:lnTo>
                                <a:pt x="4440" y="0"/>
                              </a:lnTo>
                            </a:path>
                          </a:pathLst>
                        </a:custGeom>
                        <a:ln w="9601" cap="flat" cmpd="sng">
                          <a:solidFill>
                            <a:srgbClr val="000000"/>
                          </a:solidFill>
                          <a:prstDash val="solid"/>
                          <a:round/>
                          <a:headEnd type="none" w="med" len="med"/>
                          <a:tailEnd type="none" w="med" len="med"/>
                        </a:ln>
                      </wps:spPr>
                      <wps:bodyPr vertOverflow="clip" horzOverflow="clip">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C522A2E" id="Freeform: Shape 8" o:spid="_x0000_s1026" style="position:absolute;margin-left:49.35pt;margin-top:8.75pt;width:22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LvQNQIAAK8EAAAOAAAAZHJzL2Uyb0RvYy54bWysVMFu2zAMvQ/YPwi6L3aCoGuNOD0s6y5F&#10;W6ApdmYkOTYmi4KkxM6+fpRsp1l2GYblIFDiM/n4SGZ137eaHZXzDZqSz2c5Z8oIlI3Zl/xt+/Dp&#10;ljMfwEjQaFTJT8rz+/XHD6vOFmqBNWqpHKMgxhedLXkdgi2yzItateBnaJUhZ4WuhUBXt8+kg46i&#10;tzpb5PlN1qGT1qFQ3tPrZnDydYpfVUqE56ryKjBdcuIW0unSuYtntl5BsXdg60aMNOAfWLTQGEp6&#10;DrWBAOzgmj9CtY1w6LEKM4FthlXVCJVqoGrm+VU1rzVYlWohcbw9y+T/X1jxdHy1Ly5S9/YRxQ9P&#10;imSd9cXZEy9+xPSVayOWiLM+qXg6q6j6wAQ9Lm7nd8ucxBbkmy8+J5EzKKZvxcGHbwpTHDg++jD0&#10;QE4W1JMlejOZjjoZe6hTDwNn1EPHGfVwN/TQQojfRXLRZF3Jl8slsahHEtHT4lFtMWHCFX8i+O7V&#10;5hI1xJkKJeDgJiNmIrkGI2Un+7I+bSKRu5t8TnIAzXelgciL1sqSe7NPM+NRN/Kh0ToS826/+6Id&#10;O0Kc2PSLBVLc32DW+bABXw+45Bp0cHgwMilaK5BfjWThZGnxDK0fj2RaJTnTirY1WgkZoNF/gyQS&#10;2ozjMUxEnI0dytMLEVYuPNNRaaQsQjeWtEf38+otiU/kt/13cJbFOkoeaHaecBp3KKaxiMqesWPi&#10;Id14oa1I2owbHNfu8p5Q7/8z618AAAD//wMAUEsDBBQABgAIAAAAIQBp+OUI3AAAAAgBAAAPAAAA&#10;ZHJzL2Rvd25yZXYueG1sTI/BTsMwEETvSPyDtUjcqJ3S4jbEqRASEhwplejRSbZJRLyObLcNfD3b&#10;Exz3zWh2pthMbhAnDLH3ZCCbKRBItW96ag3sPl7uViBistTYwRMa+MYIm/L6qrB548/0jqdtagWH&#10;UMytgS6lMZcy1h06G2d+RGLt4IOzic/QyibYM4e7Qc6VepDO9sQfOjvic4f11/boDPy87j/vQ6VU&#10;tk6Z2+m3gHahjbm9mZ4eQSSc0p8ZLvW5OpTcqfJHaqIYDKxXmp3M9RIE68vFnEF1ARpkWcj/A8pf&#10;AAAA//8DAFBLAQItABQABgAIAAAAIQC2gziS/gAAAOEBAAATAAAAAAAAAAAAAAAAAAAAAABbQ29u&#10;dGVudF9UeXBlc10ueG1sUEsBAi0AFAAGAAgAAAAhADj9If/WAAAAlAEAAAsAAAAAAAAAAAAAAAAA&#10;LwEAAF9yZWxzLy5yZWxzUEsBAi0AFAAGAAgAAAAhAHs4u9A1AgAArwQAAA4AAAAAAAAAAAAAAAAA&#10;LgIAAGRycy9lMm9Eb2MueG1sUEsBAi0AFAAGAAgAAAAhAGn45QjcAAAACAEAAA8AAAAAAAAAAAAA&#10;AAAAjwQAAGRycy9kb3ducmV2LnhtbFBLBQYAAAAABAAEAPMAAACYBQAAAAA=&#10;" path="m,l4440,e" filled="f" strokeweight=".26669mm">
                <v:path arrowok="t"/>
                <w10:wrap type="topAndBottom" anchorx="page"/>
              </v:shape>
            </w:pict>
          </mc:Fallback>
        </mc:AlternateContent>
      </w:r>
    </w:p>
    <w:p w:rsidR="0030673B" w:rsidRPr="0030673B" w:rsidRDefault="0030673B" w:rsidP="0030673B">
      <w:pPr>
        <w:sectPr w:rsidR="0030673B" w:rsidRPr="0030673B" w:rsidSect="00DE2FCE">
          <w:pgSz w:w="11910" w:h="16840"/>
          <w:pgMar w:top="720" w:right="720" w:bottom="720" w:left="720" w:header="720" w:footer="720" w:gutter="0"/>
          <w:cols w:space="720"/>
          <w:docGrid w:linePitch="326"/>
        </w:sectPr>
      </w:pPr>
    </w:p>
    <w:p w:rsidR="0030673B" w:rsidRPr="0030673B" w:rsidRDefault="0030673B" w:rsidP="0030673B">
      <w:pPr>
        <w:rPr>
          <w:i/>
        </w:rPr>
      </w:pPr>
      <w:r w:rsidRPr="0030673B">
        <w:rPr>
          <w:i/>
        </w:rPr>
        <w:lastRenderedPageBreak/>
        <w:t>Section 1: Demographic Information</w:t>
      </w:r>
    </w:p>
    <w:p w:rsidR="0030673B" w:rsidRPr="0030673B" w:rsidRDefault="0030673B" w:rsidP="0030673B">
      <w:pPr>
        <w:numPr>
          <w:ilvl w:val="0"/>
          <w:numId w:val="19"/>
        </w:numPr>
        <w:rPr>
          <w:b/>
        </w:rPr>
      </w:pPr>
      <w:r w:rsidRPr="0030673B">
        <w:rPr>
          <w:b/>
        </w:rPr>
        <w:t xml:space="preserve">Name: </w:t>
      </w:r>
      <w:r w:rsidRPr="0030673B">
        <w:rPr>
          <w:b/>
          <w:u w:val="single"/>
        </w:rPr>
        <w:t xml:space="preserve"> </w:t>
      </w:r>
      <w:r w:rsidRPr="0030673B">
        <w:rPr>
          <w:b/>
          <w:u w:val="single"/>
        </w:rPr>
        <w:tab/>
      </w:r>
    </w:p>
    <w:p w:rsidR="0030673B" w:rsidRPr="0030673B" w:rsidRDefault="0030673B" w:rsidP="0030673B">
      <w:pPr>
        <w:numPr>
          <w:ilvl w:val="0"/>
          <w:numId w:val="19"/>
        </w:numPr>
        <w:rPr>
          <w:b/>
        </w:rPr>
      </w:pPr>
      <w:r w:rsidRPr="0030673B">
        <w:rPr>
          <w:b/>
        </w:rPr>
        <w:t xml:space="preserve">Age: </w:t>
      </w:r>
      <w:r w:rsidRPr="0030673B">
        <w:rPr>
          <w:b/>
          <w:u w:val="single"/>
        </w:rPr>
        <w:t xml:space="preserve"> </w:t>
      </w:r>
      <w:r w:rsidRPr="0030673B">
        <w:rPr>
          <w:b/>
          <w:u w:val="single"/>
        </w:rPr>
        <w:tab/>
      </w:r>
    </w:p>
    <w:p w:rsidR="0030673B" w:rsidRPr="0030673B" w:rsidRDefault="0030673B" w:rsidP="0030673B">
      <w:pPr>
        <w:numPr>
          <w:ilvl w:val="0"/>
          <w:numId w:val="19"/>
        </w:numPr>
      </w:pPr>
      <w:r w:rsidRPr="0030673B">
        <w:rPr>
          <w:b/>
        </w:rPr>
        <w:t xml:space="preserve">Gender: </w:t>
      </w:r>
      <w:r w:rsidRPr="0030673B">
        <w:t>Male □</w:t>
      </w:r>
      <w:r w:rsidRPr="0030673B">
        <w:tab/>
        <w:t>Female □</w:t>
      </w:r>
    </w:p>
    <w:p w:rsidR="0030673B" w:rsidRPr="0030673B" w:rsidRDefault="0030673B" w:rsidP="0030673B">
      <w:pPr>
        <w:numPr>
          <w:ilvl w:val="0"/>
          <w:numId w:val="19"/>
        </w:numPr>
        <w:rPr>
          <w:b/>
        </w:rPr>
      </w:pPr>
      <w:r w:rsidRPr="0030673B">
        <w:rPr>
          <w:b/>
        </w:rPr>
        <w:t>Education Level</w:t>
      </w:r>
    </w:p>
    <w:p w:rsidR="0030673B" w:rsidRPr="0030673B" w:rsidRDefault="0030673B" w:rsidP="0030673B">
      <w:pPr>
        <w:numPr>
          <w:ilvl w:val="1"/>
          <w:numId w:val="19"/>
        </w:numPr>
      </w:pPr>
      <w:r w:rsidRPr="0030673B">
        <w:t>Masters or above □</w:t>
      </w:r>
    </w:p>
    <w:p w:rsidR="0030673B" w:rsidRPr="0030673B" w:rsidRDefault="0030673B" w:rsidP="0030673B">
      <w:pPr>
        <w:numPr>
          <w:ilvl w:val="1"/>
          <w:numId w:val="19"/>
        </w:numPr>
      </w:pPr>
      <w:r w:rsidRPr="0030673B">
        <w:t>Bachelors/College degree □</w:t>
      </w:r>
    </w:p>
    <w:p w:rsidR="0030673B" w:rsidRPr="0030673B" w:rsidRDefault="0030673B" w:rsidP="0030673B">
      <w:pPr>
        <w:numPr>
          <w:ilvl w:val="1"/>
          <w:numId w:val="19"/>
        </w:numPr>
      </w:pPr>
      <w:r w:rsidRPr="0030673B">
        <w:t>Secondary School □</w:t>
      </w:r>
    </w:p>
    <w:p w:rsidR="0030673B" w:rsidRPr="0030673B" w:rsidRDefault="0030673B" w:rsidP="0030673B">
      <w:pPr>
        <w:numPr>
          <w:ilvl w:val="1"/>
          <w:numId w:val="19"/>
        </w:numPr>
      </w:pPr>
      <w:r w:rsidRPr="0030673B">
        <w:t>Primary or below □</w:t>
      </w:r>
    </w:p>
    <w:p w:rsidR="0030673B" w:rsidRPr="0030673B" w:rsidRDefault="0030673B" w:rsidP="0030673B">
      <w:pPr>
        <w:numPr>
          <w:ilvl w:val="0"/>
          <w:numId w:val="19"/>
        </w:numPr>
      </w:pPr>
      <w:r w:rsidRPr="0030673B">
        <w:rPr>
          <w:b/>
        </w:rPr>
        <w:t>First visit to Outpatient in last six months?</w:t>
      </w:r>
      <w:r w:rsidRPr="0030673B">
        <w:rPr>
          <w:b/>
        </w:rPr>
        <w:tab/>
      </w:r>
      <w:r w:rsidRPr="0030673B">
        <w:t>No □</w:t>
      </w:r>
      <w:r w:rsidRPr="0030673B">
        <w:tab/>
        <w:t>Yes □</w:t>
      </w:r>
    </w:p>
    <w:p w:rsidR="0030673B" w:rsidRPr="0030673B" w:rsidRDefault="0030673B" w:rsidP="0030673B">
      <w:pPr>
        <w:numPr>
          <w:ilvl w:val="0"/>
          <w:numId w:val="19"/>
        </w:numPr>
        <w:rPr>
          <w:b/>
        </w:rPr>
      </w:pPr>
      <w:r w:rsidRPr="0030673B">
        <w:rPr>
          <w:b/>
        </w:rPr>
        <w:t>Marital Status</w:t>
      </w:r>
    </w:p>
    <w:p w:rsidR="0030673B" w:rsidRPr="0030673B" w:rsidRDefault="0030673B" w:rsidP="0030673B">
      <w:pPr>
        <w:numPr>
          <w:ilvl w:val="1"/>
          <w:numId w:val="19"/>
        </w:numPr>
      </w:pPr>
      <w:r w:rsidRPr="0030673B">
        <w:t>Single □</w:t>
      </w:r>
    </w:p>
    <w:p w:rsidR="0030673B" w:rsidRPr="0030673B" w:rsidRDefault="0030673B" w:rsidP="0030673B">
      <w:pPr>
        <w:numPr>
          <w:ilvl w:val="1"/>
          <w:numId w:val="19"/>
        </w:numPr>
      </w:pPr>
      <w:r w:rsidRPr="0030673B">
        <w:t>Married □</w:t>
      </w:r>
    </w:p>
    <w:p w:rsidR="0030673B" w:rsidRPr="0030673B" w:rsidRDefault="0030673B" w:rsidP="0030673B">
      <w:pPr>
        <w:numPr>
          <w:ilvl w:val="1"/>
          <w:numId w:val="19"/>
        </w:numPr>
      </w:pPr>
      <w:r w:rsidRPr="0030673B">
        <w:t>Widowed/Divorced □</w:t>
      </w:r>
    </w:p>
    <w:p w:rsidR="0030673B" w:rsidRPr="0030673B" w:rsidRDefault="0030673B" w:rsidP="0030673B">
      <w:pPr>
        <w:numPr>
          <w:ilvl w:val="0"/>
          <w:numId w:val="19"/>
        </w:numPr>
        <w:rPr>
          <w:b/>
        </w:rPr>
      </w:pPr>
      <w:r w:rsidRPr="0030673B">
        <w:rPr>
          <w:b/>
        </w:rPr>
        <w:t xml:space="preserve">Average monthly income: </w:t>
      </w:r>
      <w:r w:rsidRPr="0030673B">
        <w:rPr>
          <w:b/>
          <w:u w:val="single"/>
        </w:rPr>
        <w:t xml:space="preserve"> </w:t>
      </w:r>
      <w:r w:rsidRPr="0030673B">
        <w:rPr>
          <w:b/>
          <w:u w:val="single"/>
        </w:rPr>
        <w:tab/>
      </w:r>
    </w:p>
    <w:p w:rsidR="0030673B" w:rsidRPr="0030673B" w:rsidRDefault="0030673B" w:rsidP="0030673B">
      <w:pPr>
        <w:numPr>
          <w:ilvl w:val="0"/>
          <w:numId w:val="19"/>
        </w:numPr>
        <w:rPr>
          <w:b/>
        </w:rPr>
      </w:pPr>
      <w:r w:rsidRPr="0030673B">
        <w:rPr>
          <w:b/>
        </w:rPr>
        <w:t>Type of Payment for Treatment:</w:t>
      </w:r>
    </w:p>
    <w:p w:rsidR="0030673B" w:rsidRPr="0030673B" w:rsidRDefault="0030673B" w:rsidP="0030673B">
      <w:pPr>
        <w:numPr>
          <w:ilvl w:val="1"/>
          <w:numId w:val="19"/>
        </w:numPr>
      </w:pPr>
      <w:r w:rsidRPr="0030673B">
        <w:t>Self-finance □</w:t>
      </w:r>
    </w:p>
    <w:p w:rsidR="0030673B" w:rsidRPr="0030673B" w:rsidRDefault="0030673B" w:rsidP="0030673B">
      <w:pPr>
        <w:numPr>
          <w:ilvl w:val="1"/>
          <w:numId w:val="19"/>
        </w:numPr>
      </w:pPr>
      <w:r w:rsidRPr="0030673B">
        <w:t>Insured □</w:t>
      </w:r>
    </w:p>
    <w:p w:rsidR="0030673B" w:rsidRPr="0030673B" w:rsidRDefault="0030673B" w:rsidP="0030673B">
      <w:pPr>
        <w:numPr>
          <w:ilvl w:val="1"/>
          <w:numId w:val="19"/>
        </w:numPr>
      </w:pPr>
      <w:r w:rsidRPr="0030673B">
        <w:t>Mixed self-finance and insurance reimbursement □</w:t>
      </w:r>
    </w:p>
    <w:p w:rsidR="0030673B" w:rsidRPr="0030673B" w:rsidRDefault="0030673B" w:rsidP="0030673B">
      <w:pPr>
        <w:rPr>
          <w:b/>
          <w:lang w:val="en-US"/>
        </w:rPr>
      </w:pPr>
    </w:p>
    <w:p w:rsidR="0030673B" w:rsidRPr="0030673B" w:rsidRDefault="0030673B" w:rsidP="0030673B">
      <w:pPr>
        <w:rPr>
          <w:i/>
        </w:rPr>
      </w:pPr>
      <w:r w:rsidRPr="0030673B">
        <w:rPr>
          <w:i/>
        </w:rPr>
        <w:t>Section 2: Satisfaction with Outpatient Services</w:t>
      </w:r>
    </w:p>
    <w:p w:rsidR="0030673B" w:rsidRPr="0030673B" w:rsidRDefault="0030673B" w:rsidP="0030673B">
      <w:r w:rsidRPr="0030673B">
        <w:t>Please fill in the responses to the questions below. Each question is rated from 1-5, where 1 means you disagree completely with the given statement, whereas 5 means you completely agree with the given statement. All questions in this section are mandatory.</w:t>
      </w:r>
    </w:p>
    <w:p w:rsidR="0030673B" w:rsidRPr="0030673B" w:rsidRDefault="0030673B" w:rsidP="0030673B">
      <w:pPr>
        <w:rPr>
          <w:b/>
          <w:lang w:val="en-US"/>
        </w:rPr>
      </w:pPr>
    </w:p>
    <w:p w:rsidR="0030673B" w:rsidRPr="0030673B" w:rsidRDefault="0030673B" w:rsidP="0030673B">
      <w:pPr>
        <w:rPr>
          <w:b/>
          <w:lang w:val="en-US"/>
        </w:rPr>
      </w:pPr>
    </w:p>
    <w:p w:rsidR="0030673B" w:rsidRPr="0030673B" w:rsidRDefault="0030673B" w:rsidP="0030673B">
      <w:pPr>
        <w:rPr>
          <w:b/>
          <w:lang w:val="en-US"/>
        </w:rPr>
      </w:pPr>
    </w:p>
    <w:tbl>
      <w:tblPr>
        <w:tblW w:w="0" w:type="auto"/>
        <w:tblInd w:w="20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3373"/>
        <w:gridCol w:w="1470"/>
        <w:gridCol w:w="1234"/>
        <w:gridCol w:w="1136"/>
        <w:gridCol w:w="1522"/>
        <w:gridCol w:w="1471"/>
      </w:tblGrid>
      <w:tr w:rsidR="0030673B" w:rsidRPr="0030673B" w:rsidTr="0030673B">
        <w:trPr>
          <w:trHeight w:val="464"/>
        </w:trPr>
        <w:tc>
          <w:tcPr>
            <w:tcW w:w="10206" w:type="dxa"/>
            <w:gridSpan w:val="6"/>
            <w:tcBorders>
              <w:top w:val="single" w:sz="4" w:space="0" w:color="999999"/>
              <w:left w:val="single" w:sz="4" w:space="0" w:color="999999"/>
              <w:bottom w:val="single" w:sz="12" w:space="0" w:color="666666"/>
              <w:right w:val="single" w:sz="4" w:space="0" w:color="999999"/>
            </w:tcBorders>
            <w:hideMark/>
          </w:tcPr>
          <w:p w:rsidR="0030673B" w:rsidRPr="0030673B" w:rsidRDefault="0030673B" w:rsidP="0030673B">
            <w:pPr>
              <w:rPr>
                <w:b/>
                <w:lang w:val="en-US"/>
              </w:rPr>
            </w:pPr>
            <w:r w:rsidRPr="0030673B">
              <w:rPr>
                <w:b/>
                <w:lang w:val="en-US"/>
              </w:rPr>
              <w:lastRenderedPageBreak/>
              <w:t>Outpatient Experience Questionnaire</w:t>
            </w:r>
          </w:p>
        </w:tc>
      </w:tr>
      <w:tr w:rsidR="0030673B" w:rsidRPr="0030673B" w:rsidTr="0030673B">
        <w:trPr>
          <w:trHeight w:val="1300"/>
        </w:trPr>
        <w:tc>
          <w:tcPr>
            <w:tcW w:w="3373"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Statement</w:t>
            </w:r>
          </w:p>
        </w:tc>
        <w:tc>
          <w:tcPr>
            <w:tcW w:w="1470"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1</w:t>
            </w:r>
            <w:r w:rsidRPr="0030673B">
              <w:rPr>
                <w:b/>
                <w:lang w:val="en-US"/>
              </w:rPr>
              <w:tab/>
              <w:t>=</w:t>
            </w:r>
          </w:p>
          <w:p w:rsidR="0030673B" w:rsidRPr="0030673B" w:rsidRDefault="0030673B" w:rsidP="0030673B">
            <w:pPr>
              <w:rPr>
                <w:b/>
                <w:lang w:val="en-US"/>
              </w:rPr>
            </w:pPr>
            <w:r w:rsidRPr="0030673B">
              <w:rPr>
                <w:b/>
                <w:lang w:val="en-US"/>
              </w:rPr>
              <w:t>Completely disagree</w:t>
            </w:r>
          </w:p>
        </w:tc>
        <w:tc>
          <w:tcPr>
            <w:tcW w:w="1234"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2</w:t>
            </w:r>
            <w:r w:rsidRPr="0030673B">
              <w:rPr>
                <w:b/>
                <w:lang w:val="en-US"/>
              </w:rPr>
              <w:tab/>
              <w:t>=</w:t>
            </w:r>
          </w:p>
          <w:p w:rsidR="0030673B" w:rsidRPr="0030673B" w:rsidRDefault="0030673B" w:rsidP="0030673B">
            <w:pPr>
              <w:rPr>
                <w:b/>
                <w:lang w:val="en-US"/>
              </w:rPr>
            </w:pPr>
            <w:r w:rsidRPr="0030673B">
              <w:rPr>
                <w:b/>
                <w:lang w:val="en-US"/>
              </w:rPr>
              <w:t>Disagree</w:t>
            </w:r>
          </w:p>
        </w:tc>
        <w:tc>
          <w:tcPr>
            <w:tcW w:w="1136"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3 = Fair</w:t>
            </w:r>
          </w:p>
        </w:tc>
        <w:tc>
          <w:tcPr>
            <w:tcW w:w="1522"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4 = Agree</w:t>
            </w:r>
          </w:p>
        </w:tc>
        <w:tc>
          <w:tcPr>
            <w:tcW w:w="1471" w:type="dxa"/>
            <w:tcBorders>
              <w:top w:val="single" w:sz="12" w:space="0" w:color="666666"/>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5</w:t>
            </w:r>
            <w:r w:rsidRPr="0030673B">
              <w:rPr>
                <w:b/>
                <w:lang w:val="en-US"/>
              </w:rPr>
              <w:tab/>
              <w:t>=</w:t>
            </w:r>
          </w:p>
          <w:p w:rsidR="0030673B" w:rsidRPr="0030673B" w:rsidRDefault="0030673B" w:rsidP="0030673B">
            <w:pPr>
              <w:rPr>
                <w:b/>
                <w:lang w:val="en-US"/>
              </w:rPr>
            </w:pPr>
            <w:r w:rsidRPr="0030673B">
              <w:rPr>
                <w:b/>
                <w:lang w:val="en-US"/>
              </w:rPr>
              <w:t>Completely Agree</w:t>
            </w:r>
          </w:p>
        </w:tc>
      </w:tr>
      <w:tr w:rsidR="0030673B" w:rsidRPr="0030673B" w:rsidTr="0030673B">
        <w:trPr>
          <w:trHeight w:val="451"/>
        </w:trPr>
        <w:tc>
          <w:tcPr>
            <w:tcW w:w="3373"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bl>
    <w:p w:rsidR="0030673B" w:rsidRPr="0030673B" w:rsidRDefault="0030673B" w:rsidP="0030673B">
      <w:pPr>
        <w:sectPr w:rsidR="0030673B" w:rsidRPr="0030673B" w:rsidSect="0030673B">
          <w:pgSz w:w="11910" w:h="16840"/>
          <w:pgMar w:top="1340" w:right="680" w:bottom="280" w:left="660" w:header="720" w:footer="720" w:gutter="0"/>
          <w:cols w:space="720"/>
        </w:sectPr>
      </w:pPr>
    </w:p>
    <w:tbl>
      <w:tblPr>
        <w:tblW w:w="0" w:type="auto"/>
        <w:tblInd w:w="12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3373"/>
        <w:gridCol w:w="1470"/>
        <w:gridCol w:w="1234"/>
        <w:gridCol w:w="1136"/>
        <w:gridCol w:w="1522"/>
        <w:gridCol w:w="1471"/>
      </w:tblGrid>
      <w:tr w:rsidR="0030673B" w:rsidRPr="0030673B" w:rsidTr="0030673B">
        <w:trPr>
          <w:trHeight w:val="1243"/>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lastRenderedPageBreak/>
              <w:t>I understand the information I</w:t>
            </w:r>
          </w:p>
          <w:p w:rsidR="0030673B" w:rsidRPr="0030673B" w:rsidRDefault="0030673B" w:rsidP="0030673B">
            <w:pPr>
              <w:rPr>
                <w:b/>
                <w:lang w:val="en-US"/>
              </w:rPr>
            </w:pPr>
            <w:r w:rsidRPr="0030673B">
              <w:rPr>
                <w:b/>
                <w:lang w:val="en-US"/>
              </w:rPr>
              <w:t>have been given about my condition.</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w:t>
            </w:r>
            <w:r w:rsidRPr="0030673B">
              <w:rPr>
                <w:b/>
                <w:lang w:val="en-US"/>
              </w:rPr>
              <w:tab/>
              <w:t>am</w:t>
            </w:r>
            <w:r w:rsidRPr="0030673B">
              <w:rPr>
                <w:b/>
                <w:lang w:val="en-US"/>
              </w:rPr>
              <w:tab/>
              <w:t>able</w:t>
            </w:r>
            <w:r w:rsidRPr="0030673B">
              <w:rPr>
                <w:b/>
                <w:lang w:val="en-US"/>
              </w:rPr>
              <w:tab/>
              <w:t>to</w:t>
            </w:r>
            <w:r w:rsidRPr="0030673B">
              <w:rPr>
                <w:b/>
                <w:lang w:val="en-US"/>
              </w:rPr>
              <w:tab/>
              <w:t>follow</w:t>
            </w:r>
            <w:r w:rsidRPr="0030673B">
              <w:rPr>
                <w:b/>
                <w:lang w:val="en-US"/>
              </w:rPr>
              <w:tab/>
              <w:t>the</w:t>
            </w:r>
          </w:p>
          <w:p w:rsidR="0030673B" w:rsidRPr="0030673B" w:rsidRDefault="0030673B" w:rsidP="0030673B">
            <w:pPr>
              <w:rPr>
                <w:b/>
                <w:lang w:val="en-US"/>
              </w:rPr>
            </w:pPr>
            <w:r w:rsidRPr="0030673B">
              <w:rPr>
                <w:b/>
                <w:lang w:val="en-US"/>
              </w:rPr>
              <w:t>instructions I have been given.</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feel confident in my ability to</w:t>
            </w:r>
          </w:p>
          <w:p w:rsidR="0030673B" w:rsidRPr="0030673B" w:rsidRDefault="0030673B" w:rsidP="0030673B">
            <w:pPr>
              <w:rPr>
                <w:b/>
                <w:lang w:val="en-US"/>
              </w:rPr>
            </w:pPr>
            <w:r w:rsidRPr="0030673B">
              <w:rPr>
                <w:b/>
                <w:lang w:val="en-US"/>
              </w:rPr>
              <w:t>manage my condition.</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8"/>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am aware of the digital tools</w:t>
            </w:r>
          </w:p>
          <w:p w:rsidR="0030673B" w:rsidRPr="0030673B" w:rsidRDefault="0030673B" w:rsidP="0030673B">
            <w:pPr>
              <w:rPr>
                <w:b/>
                <w:lang w:val="en-US"/>
              </w:rPr>
            </w:pPr>
            <w:r w:rsidRPr="0030673B">
              <w:rPr>
                <w:b/>
                <w:lang w:val="en-US"/>
              </w:rPr>
              <w:t>used in healthcare.</w:t>
            </w:r>
          </w:p>
        </w:tc>
        <w:tc>
          <w:tcPr>
            <w:tcW w:w="2704" w:type="dxa"/>
            <w:gridSpan w:val="2"/>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4129" w:type="dxa"/>
            <w:gridSpan w:val="3"/>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am willing to use digital</w:t>
            </w:r>
          </w:p>
          <w:p w:rsidR="0030673B" w:rsidRPr="0030673B" w:rsidRDefault="0030673B" w:rsidP="0030673B">
            <w:pPr>
              <w:rPr>
                <w:b/>
                <w:lang w:val="en-US"/>
              </w:rPr>
            </w:pPr>
            <w:r w:rsidRPr="0030673B">
              <w:rPr>
                <w:b/>
                <w:lang w:val="en-US"/>
              </w:rPr>
              <w:t>health tools in my healthcare.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206"/>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am aware with the following digital tools.</w:t>
            </w:r>
          </w:p>
        </w:tc>
        <w:tc>
          <w:tcPr>
            <w:tcW w:w="1470"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Mobile Health Apps</w:t>
            </w:r>
          </w:p>
          <w:p w:rsidR="0030673B" w:rsidRPr="0030673B" w:rsidRDefault="0030673B" w:rsidP="0030673B">
            <w:pPr>
              <w:rPr>
                <w:lang w:val="en-US"/>
              </w:rPr>
            </w:pPr>
            <w:r w:rsidRPr="0030673B">
              <w:rPr>
                <w:lang w:val="en-US"/>
              </w:rPr>
              <w:t>□</w:t>
            </w:r>
          </w:p>
        </w:tc>
        <w:tc>
          <w:tcPr>
            <w:tcW w:w="1234"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Electronic Health Records</w:t>
            </w:r>
          </w:p>
          <w:p w:rsidR="0030673B" w:rsidRPr="0030673B" w:rsidRDefault="0030673B" w:rsidP="0030673B">
            <w:pPr>
              <w:rPr>
                <w:lang w:val="en-US"/>
              </w:rPr>
            </w:pPr>
            <w:r w:rsidRPr="0030673B">
              <w:rPr>
                <w:lang w:val="en-US"/>
              </w:rPr>
              <w:t>□</w:t>
            </w:r>
          </w:p>
        </w:tc>
        <w:tc>
          <w:tcPr>
            <w:tcW w:w="1136"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Wearable Devices</w:t>
            </w:r>
          </w:p>
          <w:p w:rsidR="0030673B" w:rsidRPr="0030673B" w:rsidRDefault="0030673B" w:rsidP="0030673B">
            <w:pPr>
              <w:rPr>
                <w:lang w:val="en-US"/>
              </w:rPr>
            </w:pPr>
            <w:r w:rsidRPr="0030673B">
              <w:rPr>
                <w:lang w:val="en-US"/>
              </w:rPr>
              <w:t>□</w:t>
            </w:r>
          </w:p>
        </w:tc>
        <w:tc>
          <w:tcPr>
            <w:tcW w:w="1522"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Telehealth and Telemedicine</w:t>
            </w:r>
          </w:p>
          <w:p w:rsidR="0030673B" w:rsidRPr="0030673B" w:rsidRDefault="0030673B" w:rsidP="0030673B">
            <w:pPr>
              <w:rPr>
                <w:lang w:val="en-US"/>
              </w:rPr>
            </w:pPr>
            <w:r w:rsidRPr="0030673B">
              <w:rPr>
                <w:lang w:val="en-US"/>
              </w:rPr>
              <w:t>□</w:t>
            </w:r>
          </w:p>
        </w:tc>
        <w:tc>
          <w:tcPr>
            <w:tcW w:w="1471"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Other □</w:t>
            </w:r>
          </w:p>
        </w:tc>
      </w:tr>
      <w:tr w:rsidR="0030673B" w:rsidRPr="0030673B" w:rsidTr="0030673B">
        <w:trPr>
          <w:trHeight w:val="830"/>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have used digital health tools</w:t>
            </w:r>
          </w:p>
          <w:p w:rsidR="0030673B" w:rsidRPr="0030673B" w:rsidRDefault="0030673B" w:rsidP="0030673B">
            <w:pPr>
              <w:rPr>
                <w:b/>
                <w:lang w:val="en-US"/>
              </w:rPr>
            </w:pPr>
            <w:r w:rsidRPr="0030673B">
              <w:rPr>
                <w:b/>
                <w:lang w:val="en-US"/>
              </w:rPr>
              <w:t>in my healthcare.</w:t>
            </w:r>
          </w:p>
        </w:tc>
        <w:tc>
          <w:tcPr>
            <w:tcW w:w="2704" w:type="dxa"/>
            <w:gridSpan w:val="2"/>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4129" w:type="dxa"/>
            <w:gridSpan w:val="3"/>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240"/>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w:t>
            </w:r>
            <w:r w:rsidRPr="0030673B">
              <w:rPr>
                <w:b/>
                <w:lang w:val="en-US"/>
              </w:rPr>
              <w:tab/>
              <w:t>am</w:t>
            </w:r>
            <w:r w:rsidRPr="0030673B">
              <w:rPr>
                <w:b/>
                <w:lang w:val="en-US"/>
              </w:rPr>
              <w:tab/>
              <w:t>satisfied</w:t>
            </w:r>
            <w:r w:rsidRPr="0030673B">
              <w:rPr>
                <w:b/>
                <w:lang w:val="en-US"/>
              </w:rPr>
              <w:tab/>
              <w:t>with</w:t>
            </w:r>
            <w:r w:rsidRPr="0030673B">
              <w:rPr>
                <w:b/>
                <w:lang w:val="en-US"/>
              </w:rPr>
              <w:tab/>
              <w:t>my experience using digital health</w:t>
            </w:r>
          </w:p>
          <w:p w:rsidR="0030673B" w:rsidRPr="0030673B" w:rsidRDefault="0030673B" w:rsidP="0030673B">
            <w:pPr>
              <w:rPr>
                <w:b/>
                <w:lang w:val="en-US"/>
              </w:rPr>
            </w:pPr>
            <w:r w:rsidRPr="0030673B">
              <w:rPr>
                <w:b/>
                <w:lang w:val="en-US"/>
              </w:rPr>
              <w:t>tools.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242"/>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believe that digital health</w:t>
            </w:r>
          </w:p>
          <w:p w:rsidR="0030673B" w:rsidRPr="0030673B" w:rsidRDefault="0030673B" w:rsidP="0030673B">
            <w:pPr>
              <w:rPr>
                <w:b/>
                <w:lang w:val="en-US"/>
              </w:rPr>
            </w:pPr>
            <w:r w:rsidRPr="0030673B">
              <w:rPr>
                <w:b/>
                <w:lang w:val="en-US"/>
              </w:rPr>
              <w:t>tools can improve the quality of patient care.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8"/>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It</w:t>
            </w:r>
            <w:r w:rsidRPr="0030673B">
              <w:rPr>
                <w:b/>
                <w:lang w:val="en-US"/>
              </w:rPr>
              <w:tab/>
              <w:t>was</w:t>
            </w:r>
            <w:r w:rsidRPr="0030673B">
              <w:rPr>
                <w:b/>
                <w:lang w:val="en-US"/>
              </w:rPr>
              <w:tab/>
              <w:t>easy</w:t>
            </w:r>
            <w:r w:rsidRPr="0030673B">
              <w:rPr>
                <w:b/>
                <w:lang w:val="en-US"/>
              </w:rPr>
              <w:tab/>
              <w:t>to</w:t>
            </w:r>
            <w:r w:rsidRPr="0030673B">
              <w:rPr>
                <w:b/>
                <w:lang w:val="en-US"/>
              </w:rPr>
              <w:tab/>
              <w:t>make</w:t>
            </w:r>
            <w:r w:rsidRPr="0030673B">
              <w:rPr>
                <w:b/>
                <w:lang w:val="en-US"/>
              </w:rPr>
              <w:tab/>
              <w:t>an</w:t>
            </w:r>
          </w:p>
          <w:p w:rsidR="0030673B" w:rsidRPr="0030673B" w:rsidRDefault="0030673B" w:rsidP="0030673B">
            <w:pPr>
              <w:rPr>
                <w:b/>
                <w:lang w:val="en-US"/>
              </w:rPr>
            </w:pPr>
            <w:r w:rsidRPr="0030673B">
              <w:rPr>
                <w:b/>
                <w:lang w:val="en-US"/>
              </w:rPr>
              <w:t>appointment at OPD or clinic.</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433"/>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lastRenderedPageBreak/>
              <w:t>I had to wait to see a doctor.</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The location of the clinic was</w:t>
            </w:r>
          </w:p>
          <w:p w:rsidR="0030673B" w:rsidRPr="0030673B" w:rsidRDefault="0030673B" w:rsidP="0030673B">
            <w:pPr>
              <w:rPr>
                <w:b/>
                <w:lang w:val="en-US"/>
              </w:rPr>
            </w:pPr>
            <w:r w:rsidRPr="0030673B">
              <w:rPr>
                <w:b/>
                <w:lang w:val="en-US"/>
              </w:rPr>
              <w:t>convenient for me.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The staff were very friendly</w:t>
            </w:r>
          </w:p>
          <w:p w:rsidR="0030673B" w:rsidRPr="0030673B" w:rsidRDefault="0030673B" w:rsidP="0030673B">
            <w:pPr>
              <w:rPr>
                <w:b/>
                <w:lang w:val="en-US"/>
              </w:rPr>
            </w:pPr>
            <w:r w:rsidRPr="0030673B">
              <w:rPr>
                <w:b/>
                <w:lang w:val="en-US"/>
              </w:rPr>
              <w:t>and helpful there.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434"/>
        </w:trPr>
        <w:tc>
          <w:tcPr>
            <w:tcW w:w="3373"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bl>
    <w:p w:rsidR="0030673B" w:rsidRPr="0030673B" w:rsidRDefault="0030673B" w:rsidP="0030673B">
      <w:pPr>
        <w:sectPr w:rsidR="0030673B" w:rsidRPr="0030673B" w:rsidSect="0030673B">
          <w:pgSz w:w="11910" w:h="16840"/>
          <w:pgMar w:top="1420" w:right="680" w:bottom="280" w:left="660" w:header="720" w:footer="720" w:gutter="0"/>
          <w:cols w:space="720"/>
        </w:sectPr>
      </w:pPr>
    </w:p>
    <w:tbl>
      <w:tblPr>
        <w:tblW w:w="0" w:type="auto"/>
        <w:tblInd w:w="19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3373"/>
        <w:gridCol w:w="1470"/>
        <w:gridCol w:w="1234"/>
        <w:gridCol w:w="1136"/>
        <w:gridCol w:w="1522"/>
        <w:gridCol w:w="1471"/>
      </w:tblGrid>
      <w:tr w:rsidR="0030673B" w:rsidRPr="0030673B" w:rsidTr="0030673B">
        <w:trPr>
          <w:trHeight w:val="1243"/>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lastRenderedPageBreak/>
              <w:t>The</w:t>
            </w:r>
            <w:r w:rsidRPr="0030673B">
              <w:rPr>
                <w:b/>
                <w:lang w:val="en-US"/>
              </w:rPr>
              <w:tab/>
              <w:t>doctor</w:t>
            </w:r>
            <w:r w:rsidRPr="0030673B">
              <w:rPr>
                <w:b/>
                <w:lang w:val="en-US"/>
              </w:rPr>
              <w:tab/>
              <w:t>was</w:t>
            </w:r>
            <w:r w:rsidRPr="0030673B">
              <w:rPr>
                <w:b/>
                <w:lang w:val="en-US"/>
              </w:rPr>
              <w:tab/>
              <w:t>very</w:t>
            </w:r>
          </w:p>
          <w:p w:rsidR="0030673B" w:rsidRPr="0030673B" w:rsidRDefault="0030673B" w:rsidP="0030673B">
            <w:pPr>
              <w:rPr>
                <w:b/>
                <w:lang w:val="en-US"/>
              </w:rPr>
            </w:pPr>
            <w:r w:rsidRPr="0030673B">
              <w:rPr>
                <w:b/>
                <w:lang w:val="en-US"/>
              </w:rPr>
              <w:t>knowledgeable</w:t>
            </w:r>
            <w:r w:rsidRPr="0030673B">
              <w:rPr>
                <w:b/>
                <w:lang w:val="en-US"/>
              </w:rPr>
              <w:tab/>
              <w:t>and experienced.</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 xml:space="preserve">The doctor listened to </w:t>
            </w:r>
            <w:proofErr w:type="gramStart"/>
            <w:r w:rsidRPr="0030673B">
              <w:rPr>
                <w:b/>
                <w:lang w:val="en-US"/>
              </w:rPr>
              <w:t>my</w:t>
            </w:r>
            <w:proofErr w:type="gramEnd"/>
          </w:p>
          <w:p w:rsidR="0030673B" w:rsidRPr="0030673B" w:rsidRDefault="0030673B" w:rsidP="0030673B">
            <w:pPr>
              <w:rPr>
                <w:b/>
                <w:lang w:val="en-US"/>
              </w:rPr>
            </w:pPr>
            <w:r w:rsidRPr="0030673B">
              <w:rPr>
                <w:b/>
                <w:lang w:val="en-US"/>
              </w:rPr>
              <w:t>concerns.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240"/>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The doctor provided me with clear</w:t>
            </w:r>
            <w:r w:rsidRPr="0030673B">
              <w:rPr>
                <w:b/>
                <w:lang w:val="en-US"/>
              </w:rPr>
              <w:tab/>
              <w:t>and</w:t>
            </w:r>
            <w:r w:rsidRPr="0030673B">
              <w:rPr>
                <w:b/>
                <w:lang w:val="en-US"/>
              </w:rPr>
              <w:tab/>
              <w:t>understandable</w:t>
            </w:r>
          </w:p>
          <w:p w:rsidR="0030673B" w:rsidRPr="0030673B" w:rsidRDefault="0030673B" w:rsidP="0030673B">
            <w:pPr>
              <w:rPr>
                <w:b/>
                <w:lang w:val="en-US"/>
              </w:rPr>
            </w:pPr>
            <w:r w:rsidRPr="0030673B">
              <w:rPr>
                <w:b/>
                <w:lang w:val="en-US"/>
              </w:rPr>
              <w:t>explanations.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434"/>
        </w:trPr>
        <w:tc>
          <w:tcPr>
            <w:tcW w:w="3373"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It was easy to register for an</w:t>
            </w:r>
          </w:p>
          <w:p w:rsidR="0030673B" w:rsidRPr="0030673B" w:rsidRDefault="0030673B" w:rsidP="0030673B">
            <w:pPr>
              <w:rPr>
                <w:b/>
                <w:lang w:val="en-US"/>
              </w:rPr>
            </w:pPr>
            <w:r w:rsidRPr="0030673B">
              <w:rPr>
                <w:b/>
                <w:lang w:val="en-US"/>
              </w:rPr>
              <w:t>appointment.</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w:t>
            </w:r>
            <w:r w:rsidRPr="0030673B">
              <w:rPr>
                <w:b/>
                <w:lang w:val="en-US"/>
              </w:rPr>
              <w:tab/>
              <w:t>am</w:t>
            </w:r>
            <w:r w:rsidRPr="0030673B">
              <w:rPr>
                <w:b/>
                <w:lang w:val="en-US"/>
              </w:rPr>
              <w:tab/>
              <w:t>satisfied</w:t>
            </w:r>
            <w:r w:rsidRPr="0030673B">
              <w:rPr>
                <w:b/>
                <w:lang w:val="en-US"/>
              </w:rPr>
              <w:tab/>
              <w:t>with</w:t>
            </w:r>
            <w:r w:rsidRPr="0030673B">
              <w:rPr>
                <w:b/>
                <w:lang w:val="en-US"/>
              </w:rPr>
              <w:tab/>
              <w:t>the</w:t>
            </w:r>
          </w:p>
          <w:p w:rsidR="0030673B" w:rsidRPr="0030673B" w:rsidRDefault="0030673B" w:rsidP="0030673B">
            <w:pPr>
              <w:rPr>
                <w:b/>
                <w:lang w:val="en-US"/>
              </w:rPr>
            </w:pPr>
            <w:r w:rsidRPr="0030673B">
              <w:rPr>
                <w:b/>
                <w:lang w:val="en-US"/>
              </w:rPr>
              <w:t>registration services.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w:t>
            </w:r>
            <w:r w:rsidRPr="0030673B">
              <w:rPr>
                <w:b/>
                <w:lang w:val="en-US"/>
              </w:rPr>
              <w:tab/>
              <w:t>am</w:t>
            </w:r>
            <w:r w:rsidRPr="0030673B">
              <w:rPr>
                <w:b/>
                <w:lang w:val="en-US"/>
              </w:rPr>
              <w:tab/>
              <w:t>satisfied</w:t>
            </w:r>
            <w:r w:rsidRPr="0030673B">
              <w:rPr>
                <w:b/>
                <w:lang w:val="en-US"/>
              </w:rPr>
              <w:tab/>
              <w:t>with</w:t>
            </w:r>
            <w:r w:rsidRPr="0030673B">
              <w:rPr>
                <w:b/>
                <w:lang w:val="en-US"/>
              </w:rPr>
              <w:tab/>
              <w:t>the</w:t>
            </w:r>
          </w:p>
          <w:p w:rsidR="0030673B" w:rsidRPr="0030673B" w:rsidRDefault="0030673B" w:rsidP="0030673B">
            <w:pPr>
              <w:rPr>
                <w:b/>
                <w:lang w:val="en-US"/>
              </w:rPr>
            </w:pPr>
            <w:r w:rsidRPr="0030673B">
              <w:rPr>
                <w:b/>
                <w:lang w:val="en-US"/>
              </w:rPr>
              <w:t>physician services.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30"/>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am satisfied with the nursing</w:t>
            </w:r>
          </w:p>
          <w:p w:rsidR="0030673B" w:rsidRPr="0030673B" w:rsidRDefault="0030673B" w:rsidP="0030673B">
            <w:pPr>
              <w:rPr>
                <w:b/>
                <w:lang w:val="en-US"/>
              </w:rPr>
            </w:pPr>
            <w:r w:rsidRPr="0030673B">
              <w:rPr>
                <w:b/>
                <w:lang w:val="en-US"/>
              </w:rPr>
              <w:t>services.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am satisfied with the clinical</w:t>
            </w:r>
          </w:p>
          <w:p w:rsidR="0030673B" w:rsidRPr="0030673B" w:rsidRDefault="0030673B" w:rsidP="0030673B">
            <w:pPr>
              <w:rPr>
                <w:b/>
                <w:lang w:val="en-US"/>
              </w:rPr>
            </w:pPr>
            <w:r w:rsidRPr="0030673B">
              <w:rPr>
                <w:b/>
                <w:lang w:val="en-US"/>
              </w:rPr>
              <w:t>facilities.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w:t>
            </w:r>
            <w:r w:rsidRPr="0030673B">
              <w:rPr>
                <w:b/>
                <w:lang w:val="en-US"/>
              </w:rPr>
              <w:tab/>
              <w:t>am</w:t>
            </w:r>
            <w:r w:rsidRPr="0030673B">
              <w:rPr>
                <w:b/>
                <w:lang w:val="en-US"/>
              </w:rPr>
              <w:tab/>
              <w:t>satisfied</w:t>
            </w:r>
            <w:r w:rsidRPr="0030673B">
              <w:rPr>
                <w:b/>
                <w:lang w:val="en-US"/>
              </w:rPr>
              <w:tab/>
              <w:t>with</w:t>
            </w:r>
            <w:r w:rsidRPr="0030673B">
              <w:rPr>
                <w:b/>
                <w:lang w:val="en-US"/>
              </w:rPr>
              <w:tab/>
              <w:t>the</w:t>
            </w:r>
          </w:p>
          <w:p w:rsidR="0030673B" w:rsidRPr="0030673B" w:rsidRDefault="0030673B" w:rsidP="0030673B">
            <w:pPr>
              <w:rPr>
                <w:b/>
                <w:lang w:val="en-US"/>
              </w:rPr>
            </w:pPr>
            <w:r w:rsidRPr="0030673B">
              <w:rPr>
                <w:b/>
                <w:lang w:val="en-US"/>
              </w:rPr>
              <w:t>pharmacy services.</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2069"/>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lastRenderedPageBreak/>
              <w:t>Please</w:t>
            </w:r>
            <w:r w:rsidRPr="0030673B">
              <w:rPr>
                <w:b/>
                <w:lang w:val="en-US"/>
              </w:rPr>
              <w:tab/>
              <w:t>indicate</w:t>
            </w:r>
            <w:r w:rsidRPr="0030673B">
              <w:rPr>
                <w:b/>
                <w:lang w:val="en-US"/>
              </w:rPr>
              <w:tab/>
              <w:t>the approximate amount of time you waited from the time you arrived at the clinic to the time</w:t>
            </w:r>
          </w:p>
          <w:p w:rsidR="0030673B" w:rsidRPr="0030673B" w:rsidRDefault="0030673B" w:rsidP="0030673B">
            <w:pPr>
              <w:rPr>
                <w:b/>
                <w:lang w:val="en-US"/>
              </w:rPr>
            </w:pPr>
            <w:r w:rsidRPr="0030673B">
              <w:rPr>
                <w:b/>
                <w:lang w:val="en-US"/>
              </w:rPr>
              <w:t>you saw the doctor.</w:t>
            </w:r>
          </w:p>
        </w:tc>
        <w:tc>
          <w:tcPr>
            <w:tcW w:w="1470"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Less than 15 minutes</w:t>
            </w:r>
          </w:p>
        </w:tc>
        <w:tc>
          <w:tcPr>
            <w:tcW w:w="1234"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15-25</w:t>
            </w:r>
          </w:p>
          <w:p w:rsidR="0030673B" w:rsidRPr="0030673B" w:rsidRDefault="0030673B" w:rsidP="0030673B">
            <w:pPr>
              <w:rPr>
                <w:lang w:val="en-US"/>
              </w:rPr>
            </w:pPr>
            <w:r w:rsidRPr="0030673B">
              <w:rPr>
                <w:lang w:val="en-US"/>
              </w:rPr>
              <w:t>minutes</w:t>
            </w:r>
          </w:p>
        </w:tc>
        <w:tc>
          <w:tcPr>
            <w:tcW w:w="1136"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25-35</w:t>
            </w:r>
          </w:p>
          <w:p w:rsidR="0030673B" w:rsidRPr="0030673B" w:rsidRDefault="0030673B" w:rsidP="0030673B">
            <w:pPr>
              <w:rPr>
                <w:lang w:val="en-US"/>
              </w:rPr>
            </w:pPr>
            <w:r w:rsidRPr="0030673B">
              <w:rPr>
                <w:lang w:val="en-US"/>
              </w:rPr>
              <w:t>minutes</w:t>
            </w:r>
          </w:p>
        </w:tc>
        <w:tc>
          <w:tcPr>
            <w:tcW w:w="1522"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35-45</w:t>
            </w:r>
          </w:p>
          <w:p w:rsidR="0030673B" w:rsidRPr="0030673B" w:rsidRDefault="0030673B" w:rsidP="0030673B">
            <w:pPr>
              <w:rPr>
                <w:lang w:val="en-US"/>
              </w:rPr>
            </w:pPr>
            <w:r w:rsidRPr="0030673B">
              <w:rPr>
                <w:lang w:val="en-US"/>
              </w:rPr>
              <w:t>minutes</w:t>
            </w:r>
          </w:p>
        </w:tc>
        <w:tc>
          <w:tcPr>
            <w:tcW w:w="1471"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45 minutes or more</w:t>
            </w:r>
          </w:p>
        </w:tc>
      </w:tr>
      <w:tr w:rsidR="0030673B" w:rsidRPr="0030673B" w:rsidTr="0030673B">
        <w:trPr>
          <w:trHeight w:val="1658"/>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Please</w:t>
            </w:r>
            <w:r w:rsidRPr="0030673B">
              <w:rPr>
                <w:b/>
                <w:lang w:val="en-US"/>
              </w:rPr>
              <w:tab/>
              <w:t>indicate</w:t>
            </w:r>
            <w:r w:rsidRPr="0030673B">
              <w:rPr>
                <w:b/>
                <w:lang w:val="en-US"/>
              </w:rPr>
              <w:tab/>
              <w:t>the approximate amount of time you waited to register for your</w:t>
            </w:r>
          </w:p>
          <w:p w:rsidR="0030673B" w:rsidRPr="0030673B" w:rsidRDefault="0030673B" w:rsidP="0030673B">
            <w:pPr>
              <w:rPr>
                <w:b/>
                <w:lang w:val="en-US"/>
              </w:rPr>
            </w:pPr>
            <w:r w:rsidRPr="0030673B">
              <w:rPr>
                <w:b/>
                <w:lang w:val="en-US"/>
              </w:rPr>
              <w:t>appointment.</w:t>
            </w:r>
          </w:p>
        </w:tc>
        <w:tc>
          <w:tcPr>
            <w:tcW w:w="1470"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Less than 15 minutes</w:t>
            </w:r>
          </w:p>
        </w:tc>
        <w:tc>
          <w:tcPr>
            <w:tcW w:w="1234"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15-25</w:t>
            </w:r>
          </w:p>
          <w:p w:rsidR="0030673B" w:rsidRPr="0030673B" w:rsidRDefault="0030673B" w:rsidP="0030673B">
            <w:pPr>
              <w:rPr>
                <w:lang w:val="en-US"/>
              </w:rPr>
            </w:pPr>
            <w:r w:rsidRPr="0030673B">
              <w:rPr>
                <w:lang w:val="en-US"/>
              </w:rPr>
              <w:t>minutes</w:t>
            </w:r>
          </w:p>
        </w:tc>
        <w:tc>
          <w:tcPr>
            <w:tcW w:w="1136"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25-35</w:t>
            </w:r>
          </w:p>
          <w:p w:rsidR="0030673B" w:rsidRPr="0030673B" w:rsidRDefault="0030673B" w:rsidP="0030673B">
            <w:pPr>
              <w:rPr>
                <w:lang w:val="en-US"/>
              </w:rPr>
            </w:pPr>
            <w:r w:rsidRPr="0030673B">
              <w:rPr>
                <w:lang w:val="en-US"/>
              </w:rPr>
              <w:t>minutes</w:t>
            </w:r>
          </w:p>
        </w:tc>
        <w:tc>
          <w:tcPr>
            <w:tcW w:w="1522"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35-45</w:t>
            </w:r>
          </w:p>
          <w:p w:rsidR="0030673B" w:rsidRPr="0030673B" w:rsidRDefault="0030673B" w:rsidP="0030673B">
            <w:pPr>
              <w:rPr>
                <w:lang w:val="en-US"/>
              </w:rPr>
            </w:pPr>
            <w:r w:rsidRPr="0030673B">
              <w:rPr>
                <w:lang w:val="en-US"/>
              </w:rPr>
              <w:t>minutes</w:t>
            </w:r>
          </w:p>
        </w:tc>
        <w:tc>
          <w:tcPr>
            <w:tcW w:w="1471"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45 minutes or more</w:t>
            </w:r>
          </w:p>
        </w:tc>
      </w:tr>
    </w:tbl>
    <w:p w:rsidR="0030673B" w:rsidRPr="0030673B" w:rsidRDefault="0030673B" w:rsidP="0030673B">
      <w:pPr>
        <w:sectPr w:rsidR="0030673B" w:rsidRPr="0030673B" w:rsidSect="0030673B">
          <w:pgSz w:w="11910" w:h="16840"/>
          <w:pgMar w:top="1420" w:right="680" w:bottom="280" w:left="660" w:header="720" w:footer="720" w:gutter="0"/>
          <w:cols w:space="720"/>
        </w:sectPr>
      </w:pPr>
    </w:p>
    <w:tbl>
      <w:tblPr>
        <w:tblW w:w="0" w:type="auto"/>
        <w:tblInd w:w="2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3373"/>
        <w:gridCol w:w="1470"/>
        <w:gridCol w:w="1234"/>
        <w:gridCol w:w="1136"/>
        <w:gridCol w:w="1522"/>
        <w:gridCol w:w="1471"/>
      </w:tblGrid>
      <w:tr w:rsidR="0030673B" w:rsidRPr="0030673B" w:rsidTr="0030673B">
        <w:trPr>
          <w:trHeight w:val="1243"/>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lastRenderedPageBreak/>
              <w:t>Please</w:t>
            </w:r>
            <w:r w:rsidRPr="0030673B">
              <w:rPr>
                <w:b/>
                <w:lang w:val="en-US"/>
              </w:rPr>
              <w:tab/>
              <w:t>indicate</w:t>
            </w:r>
            <w:r w:rsidRPr="0030673B">
              <w:rPr>
                <w:b/>
                <w:lang w:val="en-US"/>
              </w:rPr>
              <w:tab/>
              <w:t>the</w:t>
            </w:r>
          </w:p>
          <w:p w:rsidR="0030673B" w:rsidRPr="0030673B" w:rsidRDefault="0030673B" w:rsidP="0030673B">
            <w:pPr>
              <w:rPr>
                <w:b/>
                <w:lang w:val="en-US"/>
              </w:rPr>
            </w:pPr>
            <w:r w:rsidRPr="0030673B">
              <w:rPr>
                <w:b/>
                <w:lang w:val="en-US"/>
              </w:rPr>
              <w:t>approximate amount of time you waited to see the nurse.</w:t>
            </w:r>
          </w:p>
        </w:tc>
        <w:tc>
          <w:tcPr>
            <w:tcW w:w="1470"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Less than 15 minutes</w:t>
            </w:r>
          </w:p>
        </w:tc>
        <w:tc>
          <w:tcPr>
            <w:tcW w:w="1234"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15-25</w:t>
            </w:r>
          </w:p>
          <w:p w:rsidR="0030673B" w:rsidRPr="0030673B" w:rsidRDefault="0030673B" w:rsidP="0030673B">
            <w:pPr>
              <w:rPr>
                <w:lang w:val="en-US"/>
              </w:rPr>
            </w:pPr>
            <w:r w:rsidRPr="0030673B">
              <w:rPr>
                <w:lang w:val="en-US"/>
              </w:rPr>
              <w:t>minutes</w:t>
            </w:r>
          </w:p>
        </w:tc>
        <w:tc>
          <w:tcPr>
            <w:tcW w:w="1136"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25-35</w:t>
            </w:r>
          </w:p>
          <w:p w:rsidR="0030673B" w:rsidRPr="0030673B" w:rsidRDefault="0030673B" w:rsidP="0030673B">
            <w:pPr>
              <w:rPr>
                <w:lang w:val="en-US"/>
              </w:rPr>
            </w:pPr>
            <w:r w:rsidRPr="0030673B">
              <w:rPr>
                <w:lang w:val="en-US"/>
              </w:rPr>
              <w:t>minutes</w:t>
            </w:r>
          </w:p>
        </w:tc>
        <w:tc>
          <w:tcPr>
            <w:tcW w:w="1522"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35-45</w:t>
            </w:r>
          </w:p>
          <w:p w:rsidR="0030673B" w:rsidRPr="0030673B" w:rsidRDefault="0030673B" w:rsidP="0030673B">
            <w:pPr>
              <w:rPr>
                <w:lang w:val="en-US"/>
              </w:rPr>
            </w:pPr>
            <w:r w:rsidRPr="0030673B">
              <w:rPr>
                <w:lang w:val="en-US"/>
              </w:rPr>
              <w:t>minutes</w:t>
            </w:r>
          </w:p>
        </w:tc>
        <w:tc>
          <w:tcPr>
            <w:tcW w:w="1471"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lang w:val="en-US"/>
              </w:rPr>
            </w:pPr>
            <w:r w:rsidRPr="0030673B">
              <w:rPr>
                <w:lang w:val="en-US"/>
              </w:rPr>
              <w:t>45 minutes or more</w:t>
            </w:r>
          </w:p>
        </w:tc>
      </w:tr>
      <w:tr w:rsidR="0030673B" w:rsidRPr="0030673B" w:rsidTr="0030673B">
        <w:trPr>
          <w:trHeight w:val="431"/>
        </w:trPr>
        <w:tc>
          <w:tcPr>
            <w:tcW w:w="3373"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656"/>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believe that the OPD's services and facilities have effective working schedules</w:t>
            </w:r>
          </w:p>
          <w:p w:rsidR="0030673B" w:rsidRPr="0030673B" w:rsidRDefault="0030673B" w:rsidP="0030673B">
            <w:pPr>
              <w:rPr>
                <w:b/>
                <w:lang w:val="en-US"/>
              </w:rPr>
            </w:pPr>
            <w:r w:rsidRPr="0030673B">
              <w:rPr>
                <w:b/>
                <w:lang w:val="en-US"/>
              </w:rPr>
              <w:t>and procedures.</w:t>
            </w:r>
          </w:p>
        </w:tc>
        <w:tc>
          <w:tcPr>
            <w:tcW w:w="2704" w:type="dxa"/>
            <w:gridSpan w:val="2"/>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4129" w:type="dxa"/>
            <w:gridSpan w:val="3"/>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7"/>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I believe that HIT systems are</w:t>
            </w:r>
          </w:p>
          <w:p w:rsidR="0030673B" w:rsidRPr="0030673B" w:rsidRDefault="0030673B" w:rsidP="0030673B">
            <w:pPr>
              <w:rPr>
                <w:b/>
                <w:lang w:val="en-US"/>
              </w:rPr>
            </w:pPr>
            <w:r w:rsidRPr="0030673B">
              <w:rPr>
                <w:b/>
                <w:lang w:val="en-US"/>
              </w:rPr>
              <w:t>easy to use.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1242"/>
        </w:trPr>
        <w:tc>
          <w:tcPr>
            <w:tcW w:w="3373" w:type="dxa"/>
            <w:tcBorders>
              <w:top w:val="single" w:sz="4" w:space="0" w:color="999999"/>
              <w:left w:val="single" w:sz="4" w:space="0" w:color="999999"/>
              <w:bottom w:val="single" w:sz="4" w:space="0" w:color="999999"/>
              <w:right w:val="single" w:sz="4" w:space="0" w:color="999999"/>
            </w:tcBorders>
            <w:hideMark/>
          </w:tcPr>
          <w:p w:rsidR="0030673B" w:rsidRPr="0030673B" w:rsidRDefault="0030673B" w:rsidP="0030673B">
            <w:pPr>
              <w:rPr>
                <w:b/>
                <w:lang w:val="en-US"/>
              </w:rPr>
            </w:pPr>
            <w:r w:rsidRPr="0030673B">
              <w:rPr>
                <w:b/>
                <w:lang w:val="en-US"/>
              </w:rPr>
              <w:t>The</w:t>
            </w:r>
            <w:r w:rsidRPr="0030673B">
              <w:rPr>
                <w:b/>
                <w:lang w:val="en-US"/>
              </w:rPr>
              <w:tab/>
              <w:t>HIT</w:t>
            </w:r>
            <w:r w:rsidRPr="0030673B">
              <w:rPr>
                <w:b/>
                <w:lang w:val="en-US"/>
              </w:rPr>
              <w:tab/>
              <w:t>systems</w:t>
            </w:r>
            <w:r w:rsidRPr="0030673B">
              <w:rPr>
                <w:b/>
                <w:lang w:val="en-US"/>
              </w:rPr>
              <w:tab/>
              <w:t>save considerable time in patient</w:t>
            </w:r>
          </w:p>
          <w:p w:rsidR="0030673B" w:rsidRPr="0030673B" w:rsidRDefault="0030673B" w:rsidP="0030673B">
            <w:pPr>
              <w:rPr>
                <w:b/>
                <w:lang w:val="en-US"/>
              </w:rPr>
            </w:pPr>
            <w:r w:rsidRPr="0030673B">
              <w:rPr>
                <w:b/>
                <w:lang w:val="en-US"/>
              </w:rPr>
              <w:t>care.</w:t>
            </w:r>
          </w:p>
        </w:tc>
        <w:tc>
          <w:tcPr>
            <w:tcW w:w="1470"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4" w:space="0" w:color="999999"/>
              <w:right w:val="single" w:sz="4" w:space="0" w:color="999999"/>
            </w:tcBorders>
          </w:tcPr>
          <w:p w:rsidR="0030673B" w:rsidRPr="0030673B" w:rsidRDefault="0030673B" w:rsidP="0030673B">
            <w:pPr>
              <w:rPr>
                <w:lang w:val="en-US"/>
              </w:rPr>
            </w:pPr>
          </w:p>
        </w:tc>
      </w:tr>
      <w:tr w:rsidR="0030673B" w:rsidRPr="0030673B" w:rsidTr="0030673B">
        <w:trPr>
          <w:trHeight w:val="825"/>
        </w:trPr>
        <w:tc>
          <w:tcPr>
            <w:tcW w:w="3373" w:type="dxa"/>
            <w:tcBorders>
              <w:top w:val="single" w:sz="4" w:space="0" w:color="999999"/>
              <w:left w:val="single" w:sz="4" w:space="0" w:color="999999"/>
              <w:bottom w:val="single" w:sz="6" w:space="0" w:color="999999"/>
              <w:right w:val="single" w:sz="4" w:space="0" w:color="999999"/>
            </w:tcBorders>
            <w:hideMark/>
          </w:tcPr>
          <w:p w:rsidR="0030673B" w:rsidRPr="0030673B" w:rsidRDefault="0030673B" w:rsidP="0030673B">
            <w:pPr>
              <w:rPr>
                <w:b/>
                <w:lang w:val="en-US"/>
              </w:rPr>
            </w:pPr>
            <w:r w:rsidRPr="0030673B">
              <w:rPr>
                <w:b/>
                <w:lang w:val="en-US"/>
              </w:rPr>
              <w:t>The HIT systems influence the</w:t>
            </w:r>
          </w:p>
          <w:p w:rsidR="0030673B" w:rsidRPr="0030673B" w:rsidRDefault="0030673B" w:rsidP="0030673B">
            <w:pPr>
              <w:rPr>
                <w:b/>
                <w:lang w:val="en-US"/>
              </w:rPr>
            </w:pPr>
            <w:r w:rsidRPr="0030673B">
              <w:rPr>
                <w:b/>
                <w:lang w:val="en-US"/>
              </w:rPr>
              <w:t>quality of care delivered.</w:t>
            </w:r>
          </w:p>
        </w:tc>
        <w:tc>
          <w:tcPr>
            <w:tcW w:w="1470" w:type="dxa"/>
            <w:tcBorders>
              <w:top w:val="single" w:sz="4" w:space="0" w:color="999999"/>
              <w:left w:val="single" w:sz="4" w:space="0" w:color="999999"/>
              <w:bottom w:val="single" w:sz="6" w:space="0" w:color="999999"/>
              <w:right w:val="single" w:sz="4" w:space="0" w:color="999999"/>
            </w:tcBorders>
          </w:tcPr>
          <w:p w:rsidR="0030673B" w:rsidRPr="0030673B" w:rsidRDefault="0030673B" w:rsidP="0030673B">
            <w:pPr>
              <w:rPr>
                <w:lang w:val="en-US"/>
              </w:rPr>
            </w:pPr>
          </w:p>
        </w:tc>
        <w:tc>
          <w:tcPr>
            <w:tcW w:w="1234" w:type="dxa"/>
            <w:tcBorders>
              <w:top w:val="single" w:sz="4" w:space="0" w:color="999999"/>
              <w:left w:val="single" w:sz="4" w:space="0" w:color="999999"/>
              <w:bottom w:val="single" w:sz="6" w:space="0" w:color="999999"/>
              <w:right w:val="single" w:sz="4" w:space="0" w:color="999999"/>
            </w:tcBorders>
          </w:tcPr>
          <w:p w:rsidR="0030673B" w:rsidRPr="0030673B" w:rsidRDefault="0030673B" w:rsidP="0030673B">
            <w:pPr>
              <w:rPr>
                <w:lang w:val="en-US"/>
              </w:rPr>
            </w:pPr>
          </w:p>
        </w:tc>
        <w:tc>
          <w:tcPr>
            <w:tcW w:w="1136" w:type="dxa"/>
            <w:tcBorders>
              <w:top w:val="single" w:sz="4" w:space="0" w:color="999999"/>
              <w:left w:val="single" w:sz="4" w:space="0" w:color="999999"/>
              <w:bottom w:val="single" w:sz="6" w:space="0" w:color="999999"/>
              <w:right w:val="single" w:sz="4" w:space="0" w:color="999999"/>
            </w:tcBorders>
          </w:tcPr>
          <w:p w:rsidR="0030673B" w:rsidRPr="0030673B" w:rsidRDefault="0030673B" w:rsidP="0030673B">
            <w:pPr>
              <w:rPr>
                <w:lang w:val="en-US"/>
              </w:rPr>
            </w:pPr>
          </w:p>
        </w:tc>
        <w:tc>
          <w:tcPr>
            <w:tcW w:w="1522" w:type="dxa"/>
            <w:tcBorders>
              <w:top w:val="single" w:sz="4" w:space="0" w:color="999999"/>
              <w:left w:val="single" w:sz="4" w:space="0" w:color="999999"/>
              <w:bottom w:val="single" w:sz="6" w:space="0" w:color="999999"/>
              <w:right w:val="single" w:sz="4" w:space="0" w:color="999999"/>
            </w:tcBorders>
          </w:tcPr>
          <w:p w:rsidR="0030673B" w:rsidRPr="0030673B" w:rsidRDefault="0030673B" w:rsidP="0030673B">
            <w:pPr>
              <w:rPr>
                <w:lang w:val="en-US"/>
              </w:rPr>
            </w:pPr>
          </w:p>
        </w:tc>
        <w:tc>
          <w:tcPr>
            <w:tcW w:w="1471" w:type="dxa"/>
            <w:tcBorders>
              <w:top w:val="single" w:sz="4" w:space="0" w:color="999999"/>
              <w:left w:val="single" w:sz="4" w:space="0" w:color="999999"/>
              <w:bottom w:val="single" w:sz="6" w:space="0" w:color="999999"/>
              <w:right w:val="single" w:sz="4" w:space="0" w:color="999999"/>
            </w:tcBorders>
          </w:tcPr>
          <w:p w:rsidR="0030673B" w:rsidRPr="0030673B" w:rsidRDefault="0030673B" w:rsidP="0030673B">
            <w:pPr>
              <w:rPr>
                <w:lang w:val="en-US"/>
              </w:rPr>
            </w:pPr>
          </w:p>
        </w:tc>
      </w:tr>
    </w:tbl>
    <w:p w:rsidR="0030673B" w:rsidRPr="0030673B" w:rsidRDefault="0030673B" w:rsidP="0030673B">
      <w:pPr>
        <w:rPr>
          <w:b/>
          <w:lang w:val="en-US"/>
        </w:rPr>
      </w:pPr>
    </w:p>
    <w:p w:rsidR="0030673B" w:rsidRPr="0030673B" w:rsidRDefault="0030673B" w:rsidP="0030673B">
      <w:pPr>
        <w:rPr>
          <w:b/>
          <w:lang w:val="en-US"/>
        </w:rPr>
      </w:pPr>
    </w:p>
    <w:p w:rsidR="0030673B" w:rsidRPr="0030673B" w:rsidRDefault="0030673B" w:rsidP="0030673B">
      <w:pPr>
        <w:rPr>
          <w:b/>
        </w:rPr>
      </w:pPr>
    </w:p>
    <w:p w:rsidR="0030673B" w:rsidRPr="0030673B" w:rsidRDefault="0030673B" w:rsidP="0030673B"/>
    <w:p w:rsidR="00FC17A0" w:rsidRDefault="00FC17A0"/>
    <w:sectPr w:rsidR="00FC1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B7053B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0000002"/>
    <w:multiLevelType w:val="hybridMultilevel"/>
    <w:tmpl w:val="A620A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F44B6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0000004"/>
    <w:multiLevelType w:val="hybridMultilevel"/>
    <w:tmpl w:val="3FBC73AA"/>
    <w:lvl w:ilvl="0" w:tplc="0409000F">
      <w:start w:val="1"/>
      <w:numFmt w:val="decimal"/>
      <w:lvlText w:val="%1."/>
      <w:lvlJc w:val="left"/>
      <w:pPr>
        <w:ind w:left="720" w:hanging="360"/>
      </w:pPr>
    </w:lvl>
    <w:lvl w:ilvl="1" w:tplc="E5EE7C92">
      <w:start w:val="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5C4C467E"/>
    <w:lvl w:ilvl="0" w:tplc="C0B8C91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9A86A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6F08E6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00000008"/>
    <w:multiLevelType w:val="hybridMultilevel"/>
    <w:tmpl w:val="32043818"/>
    <w:lvl w:ilvl="0" w:tplc="0409000F">
      <w:start w:val="1"/>
      <w:numFmt w:val="decimal"/>
      <w:lvlText w:val="%1."/>
      <w:lvlJc w:val="left"/>
      <w:pPr>
        <w:ind w:left="720" w:hanging="360"/>
      </w:pPr>
    </w:lvl>
    <w:lvl w:ilvl="1" w:tplc="3EE2F5C8">
      <w:start w:val="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multilevel"/>
    <w:tmpl w:val="B148C70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000000A"/>
    <w:multiLevelType w:val="hybridMultilevel"/>
    <w:tmpl w:val="7B68BD24"/>
    <w:lvl w:ilvl="0" w:tplc="4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0000010"/>
    <w:multiLevelType w:val="multilevel"/>
    <w:tmpl w:val="EB4A11AC"/>
    <w:lvl w:ilvl="0">
      <w:start w:val="5"/>
      <w:numFmt w:val="decimal"/>
      <w:lvlText w:val="%1"/>
      <w:lvlJc w:val="left"/>
      <w:pPr>
        <w:ind w:left="360" w:hanging="360"/>
      </w:pPr>
    </w:lvl>
    <w:lvl w:ilvl="1">
      <w:start w:val="8"/>
      <w:numFmt w:val="decimal"/>
      <w:lvlText w:val="%1.%2"/>
      <w:lvlJc w:val="left"/>
      <w:pPr>
        <w:ind w:left="63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0000001F"/>
    <w:multiLevelType w:val="hybridMultilevel"/>
    <w:tmpl w:val="56489156"/>
    <w:lvl w:ilvl="0" w:tplc="A178DF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0000021"/>
    <w:multiLevelType w:val="hybridMultilevel"/>
    <w:tmpl w:val="5CCED592"/>
    <w:lvl w:ilvl="0" w:tplc="F932762A">
      <w:start w:val="1"/>
      <w:numFmt w:val="bullet"/>
      <w:lvlText w:val=""/>
      <w:lvlJc w:val="left"/>
      <w:pPr>
        <w:ind w:left="919" w:hanging="360"/>
      </w:pPr>
      <w:rPr>
        <w:rFonts w:ascii="Symbol" w:eastAsia="Symbol" w:hAnsi="Symbol" w:cs="Symbol" w:hint="default"/>
        <w:w w:val="100"/>
        <w:sz w:val="24"/>
        <w:szCs w:val="24"/>
        <w:lang w:val="en-US" w:eastAsia="en-US" w:bidi="ar-SA"/>
      </w:rPr>
    </w:lvl>
    <w:lvl w:ilvl="1" w:tplc="9C1C4FB2">
      <w:start w:val="1"/>
      <w:numFmt w:val="bullet"/>
      <w:lvlText w:val="o"/>
      <w:lvlJc w:val="left"/>
      <w:pPr>
        <w:ind w:left="1639" w:hanging="360"/>
      </w:pPr>
      <w:rPr>
        <w:rFonts w:ascii="Courier New" w:eastAsia="Courier New" w:hAnsi="Courier New" w:cs="Courier New" w:hint="default"/>
        <w:w w:val="100"/>
        <w:sz w:val="24"/>
        <w:szCs w:val="24"/>
        <w:lang w:val="en-US" w:eastAsia="en-US" w:bidi="ar-SA"/>
      </w:rPr>
    </w:lvl>
    <w:lvl w:ilvl="2" w:tplc="DD9A1592">
      <w:start w:val="1"/>
      <w:numFmt w:val="bullet"/>
      <w:lvlText w:val="•"/>
      <w:lvlJc w:val="left"/>
      <w:pPr>
        <w:ind w:left="2631" w:hanging="360"/>
      </w:pPr>
      <w:rPr>
        <w:lang w:val="en-US" w:eastAsia="en-US" w:bidi="ar-SA"/>
      </w:rPr>
    </w:lvl>
    <w:lvl w:ilvl="3" w:tplc="FD287C1C">
      <w:start w:val="1"/>
      <w:numFmt w:val="bullet"/>
      <w:lvlText w:val="•"/>
      <w:lvlJc w:val="left"/>
      <w:pPr>
        <w:ind w:left="3623" w:hanging="360"/>
      </w:pPr>
      <w:rPr>
        <w:lang w:val="en-US" w:eastAsia="en-US" w:bidi="ar-SA"/>
      </w:rPr>
    </w:lvl>
    <w:lvl w:ilvl="4" w:tplc="9E12B530">
      <w:start w:val="1"/>
      <w:numFmt w:val="bullet"/>
      <w:lvlText w:val="•"/>
      <w:lvlJc w:val="left"/>
      <w:pPr>
        <w:ind w:left="4615" w:hanging="360"/>
      </w:pPr>
      <w:rPr>
        <w:lang w:val="en-US" w:eastAsia="en-US" w:bidi="ar-SA"/>
      </w:rPr>
    </w:lvl>
    <w:lvl w:ilvl="5" w:tplc="86FA9088">
      <w:start w:val="1"/>
      <w:numFmt w:val="bullet"/>
      <w:lvlText w:val="•"/>
      <w:lvlJc w:val="left"/>
      <w:pPr>
        <w:ind w:left="5606" w:hanging="360"/>
      </w:pPr>
      <w:rPr>
        <w:lang w:val="en-US" w:eastAsia="en-US" w:bidi="ar-SA"/>
      </w:rPr>
    </w:lvl>
    <w:lvl w:ilvl="6" w:tplc="4D30A72A">
      <w:start w:val="1"/>
      <w:numFmt w:val="bullet"/>
      <w:lvlText w:val="•"/>
      <w:lvlJc w:val="left"/>
      <w:pPr>
        <w:ind w:left="6598" w:hanging="360"/>
      </w:pPr>
      <w:rPr>
        <w:lang w:val="en-US" w:eastAsia="en-US" w:bidi="ar-SA"/>
      </w:rPr>
    </w:lvl>
    <w:lvl w:ilvl="7" w:tplc="61AEAFCA">
      <w:start w:val="1"/>
      <w:numFmt w:val="bullet"/>
      <w:lvlText w:val="•"/>
      <w:lvlJc w:val="left"/>
      <w:pPr>
        <w:ind w:left="7590" w:hanging="360"/>
      </w:pPr>
      <w:rPr>
        <w:lang w:val="en-US" w:eastAsia="en-US" w:bidi="ar-SA"/>
      </w:rPr>
    </w:lvl>
    <w:lvl w:ilvl="8" w:tplc="5C1AA8BC">
      <w:start w:val="1"/>
      <w:numFmt w:val="bullet"/>
      <w:lvlText w:val="•"/>
      <w:lvlJc w:val="left"/>
      <w:pPr>
        <w:ind w:left="8582" w:hanging="360"/>
      </w:pPr>
      <w:rPr>
        <w:lang w:val="en-US" w:eastAsia="en-US" w:bidi="ar-SA"/>
      </w:rPr>
    </w:lvl>
  </w:abstractNum>
  <w:abstractNum w:abstractNumId="13" w15:restartNumberingAfterBreak="0">
    <w:nsid w:val="00000025"/>
    <w:multiLevelType w:val="multilevel"/>
    <w:tmpl w:val="578CEFB0"/>
    <w:lvl w:ilvl="0">
      <w:start w:val="5"/>
      <w:numFmt w:val="decimal"/>
      <w:lvlText w:val="%1"/>
      <w:lvlJc w:val="left"/>
      <w:pPr>
        <w:ind w:left="480" w:hanging="480"/>
      </w:pPr>
    </w:lvl>
    <w:lvl w:ilvl="1">
      <w:start w:val="9"/>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06EB1701"/>
    <w:multiLevelType w:val="hybridMultilevel"/>
    <w:tmpl w:val="5DEC9A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8154CDC"/>
    <w:multiLevelType w:val="hybridMultilevel"/>
    <w:tmpl w:val="87741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F0A22BE"/>
    <w:multiLevelType w:val="hybridMultilevel"/>
    <w:tmpl w:val="C630963C"/>
    <w:lvl w:ilvl="0" w:tplc="113A4DC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C87D2D"/>
    <w:multiLevelType w:val="hybridMultilevel"/>
    <w:tmpl w:val="12B885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EAF266B"/>
    <w:multiLevelType w:val="hybridMultilevel"/>
    <w:tmpl w:val="87741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C4581"/>
    <w:multiLevelType w:val="hybridMultilevel"/>
    <w:tmpl w:val="AE6272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98364014">
    <w:abstractNumId w:val="3"/>
  </w:num>
  <w:num w:numId="2" w16cid:durableId="1988629622">
    <w:abstractNumId w:val="4"/>
  </w:num>
  <w:num w:numId="3" w16cid:durableId="344282915">
    <w:abstractNumId w:val="0"/>
  </w:num>
  <w:num w:numId="4" w16cid:durableId="1351881210">
    <w:abstractNumId w:val="18"/>
  </w:num>
  <w:num w:numId="5" w16cid:durableId="1321038622">
    <w:abstractNumId w:val="2"/>
  </w:num>
  <w:num w:numId="6" w16cid:durableId="959799479">
    <w:abstractNumId w:val="1"/>
  </w:num>
  <w:num w:numId="7" w16cid:durableId="1311859454">
    <w:abstractNumId w:val="6"/>
  </w:num>
  <w:num w:numId="8" w16cid:durableId="61566411">
    <w:abstractNumId w:val="5"/>
  </w:num>
  <w:num w:numId="9" w16cid:durableId="1878005086">
    <w:abstractNumId w:val="7"/>
  </w:num>
  <w:num w:numId="10" w16cid:durableId="25239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8150330">
    <w:abstractNumId w:val="15"/>
  </w:num>
  <w:num w:numId="12" w16cid:durableId="15916949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83036615">
    <w:abstractNumId w:val="9"/>
  </w:num>
  <w:num w:numId="14" w16cid:durableId="2167418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2993108">
    <w:abstractNumId w:val="10"/>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9794177">
    <w:abstractNumId w:val="13"/>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4142575">
    <w:abstractNumId w:val="2"/>
    <w:lvlOverride w:ilvl="0">
      <w:startOverride w:val="5"/>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2310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9040302">
    <w:abstractNumId w:val="12"/>
  </w:num>
  <w:num w:numId="20" w16cid:durableId="497231964">
    <w:abstractNumId w:val="14"/>
  </w:num>
  <w:num w:numId="21" w16cid:durableId="19872785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36"/>
    <w:rsid w:val="00056DC2"/>
    <w:rsid w:val="000F771F"/>
    <w:rsid w:val="001425F7"/>
    <w:rsid w:val="0020432E"/>
    <w:rsid w:val="00226411"/>
    <w:rsid w:val="00274D7B"/>
    <w:rsid w:val="00281612"/>
    <w:rsid w:val="00304443"/>
    <w:rsid w:val="0030673B"/>
    <w:rsid w:val="00386778"/>
    <w:rsid w:val="003A0FCA"/>
    <w:rsid w:val="003A32DC"/>
    <w:rsid w:val="003B6F5F"/>
    <w:rsid w:val="003D59D6"/>
    <w:rsid w:val="00451B1A"/>
    <w:rsid w:val="004B2DD8"/>
    <w:rsid w:val="005115B6"/>
    <w:rsid w:val="005513FB"/>
    <w:rsid w:val="005E023D"/>
    <w:rsid w:val="005F2C97"/>
    <w:rsid w:val="0060267B"/>
    <w:rsid w:val="00603963"/>
    <w:rsid w:val="00774D21"/>
    <w:rsid w:val="008354DF"/>
    <w:rsid w:val="00843276"/>
    <w:rsid w:val="008C24FF"/>
    <w:rsid w:val="008F08D5"/>
    <w:rsid w:val="009071A2"/>
    <w:rsid w:val="009506AB"/>
    <w:rsid w:val="00965610"/>
    <w:rsid w:val="009B3315"/>
    <w:rsid w:val="009C5051"/>
    <w:rsid w:val="00A41169"/>
    <w:rsid w:val="00A423A1"/>
    <w:rsid w:val="00AA29E7"/>
    <w:rsid w:val="00B00812"/>
    <w:rsid w:val="00B47EA0"/>
    <w:rsid w:val="00C007B4"/>
    <w:rsid w:val="00C15BC5"/>
    <w:rsid w:val="00C66380"/>
    <w:rsid w:val="00CA7918"/>
    <w:rsid w:val="00CB248C"/>
    <w:rsid w:val="00CC29F0"/>
    <w:rsid w:val="00D20F1A"/>
    <w:rsid w:val="00D649D1"/>
    <w:rsid w:val="00DD0F1C"/>
    <w:rsid w:val="00DD0FCD"/>
    <w:rsid w:val="00DE2FCE"/>
    <w:rsid w:val="00E1139B"/>
    <w:rsid w:val="00E91236"/>
    <w:rsid w:val="00E94C87"/>
    <w:rsid w:val="00EA5769"/>
    <w:rsid w:val="00EE3E21"/>
    <w:rsid w:val="00F10B81"/>
    <w:rsid w:val="00F7046A"/>
    <w:rsid w:val="00FC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67A01"/>
  <w15:docId w15:val="{FB44FB21-8755-4A6E-BBE6-636DE03C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jc w:val="both"/>
    </w:pPr>
    <w:rPr>
      <w:rFonts w:ascii="Times New Roman" w:hAnsi="Times New Roman"/>
      <w:kern w:val="0"/>
      <w:sz w:val="24"/>
      <w:lang w:val="en-GB"/>
      <w14:ligatures w14:val="none"/>
    </w:rPr>
  </w:style>
  <w:style w:type="paragraph" w:styleId="Heading1">
    <w:name w:val="heading 1"/>
    <w:basedOn w:val="Normal"/>
    <w:next w:val="Normal"/>
    <w:link w:val="Heading1Char"/>
    <w:uiPriority w:val="9"/>
    <w:qFormat/>
    <w:pPr>
      <w:keepNext/>
      <w:keepLines/>
      <w:spacing w:before="240" w:after="0"/>
      <w:outlineLvl w:val="0"/>
    </w:pPr>
    <w:rPr>
      <w:rFonts w:eastAsia="SimSun"/>
      <w:b/>
      <w:sz w:val="32"/>
      <w:szCs w:val="32"/>
    </w:rPr>
  </w:style>
  <w:style w:type="paragraph" w:styleId="Heading2">
    <w:name w:val="heading 2"/>
    <w:basedOn w:val="Normal"/>
    <w:next w:val="Normal"/>
    <w:link w:val="Heading2Char"/>
    <w:uiPriority w:val="9"/>
    <w:semiHidden/>
    <w:unhideWhenUsed/>
    <w:qFormat/>
    <w:rsid w:val="003067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eastAsia="SimSun"/>
      <w:b/>
      <w:szCs w:val="24"/>
    </w:rPr>
  </w:style>
  <w:style w:type="paragraph" w:styleId="Heading4">
    <w:name w:val="heading 4"/>
    <w:basedOn w:val="Normal"/>
    <w:next w:val="Normal"/>
    <w:link w:val="Heading4Char"/>
    <w:uiPriority w:val="9"/>
    <w:unhideWhenUsed/>
    <w:qFormat/>
    <w:pPr>
      <w:keepNext/>
      <w:keepLines/>
      <w:spacing w:before="40" w:after="0"/>
      <w:outlineLvl w:val="3"/>
    </w:pPr>
    <w:rPr>
      <w:rFonts w:eastAsia="SimSun"/>
      <w:i/>
      <w:iCs/>
    </w:rPr>
  </w:style>
  <w:style w:type="paragraph" w:styleId="Heading5">
    <w:name w:val="heading 5"/>
    <w:basedOn w:val="Normal"/>
    <w:next w:val="Normal"/>
    <w:link w:val="Heading5Char"/>
    <w:uiPriority w:val="9"/>
    <w:unhideWhenUsed/>
    <w:qFormat/>
    <w:pPr>
      <w:keepNext/>
      <w:keepLines/>
      <w:spacing w:before="40" w:after="0"/>
      <w:outlineLvl w:val="4"/>
    </w:pPr>
    <w:rPr>
      <w:rFonts w:eastAsia="SimSun"/>
      <w:color w:val="2F5496"/>
    </w:rPr>
  </w:style>
  <w:style w:type="paragraph" w:styleId="Heading6">
    <w:name w:val="heading 6"/>
    <w:basedOn w:val="Normal"/>
    <w:next w:val="Normal"/>
    <w:link w:val="Heading6Char"/>
    <w:uiPriority w:val="9"/>
    <w:semiHidden/>
    <w:unhideWhenUsed/>
    <w:qFormat/>
    <w:rsid w:val="0030673B"/>
    <w:pPr>
      <w:keepNext/>
      <w:keepLines/>
      <w:spacing w:before="40" w:after="0"/>
      <w:outlineLvl w:val="5"/>
    </w:pPr>
    <w:rPr>
      <w:rFonts w:ascii="Calibri Light" w:eastAsia="SimSun" w:hAnsi="Calibri Light"/>
      <w:color w:val="1F376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kern w:val="0"/>
      <w:sz w:val="32"/>
      <w:szCs w:val="32"/>
      <w:lang w:val="en-GB"/>
      <w14:ligatures w14:val="none"/>
    </w:rPr>
  </w:style>
  <w:style w:type="character" w:customStyle="1" w:styleId="Heading3Char">
    <w:name w:val="Heading 3 Char"/>
    <w:basedOn w:val="DefaultParagraphFont"/>
    <w:link w:val="Heading3"/>
    <w:uiPriority w:val="9"/>
    <w:rPr>
      <w:rFonts w:ascii="Times New Roman" w:eastAsia="SimSun" w:hAnsi="Times New Roman" w:cs="SimSun"/>
      <w:b/>
      <w:kern w:val="0"/>
      <w:sz w:val="24"/>
      <w:szCs w:val="24"/>
      <w:lang w:val="en-GB"/>
      <w14:ligatures w14:val="none"/>
    </w:rPr>
  </w:style>
  <w:style w:type="character" w:customStyle="1" w:styleId="Heading4Char">
    <w:name w:val="Heading 4 Char"/>
    <w:basedOn w:val="DefaultParagraphFont"/>
    <w:link w:val="Heading4"/>
    <w:uiPriority w:val="9"/>
    <w:rPr>
      <w:rFonts w:ascii="Times New Roman" w:eastAsia="SimSun" w:hAnsi="Times New Roman" w:cs="SimSun"/>
      <w:i/>
      <w:iCs/>
      <w:kern w:val="0"/>
      <w:sz w:val="24"/>
      <w:lang w:val="en-GB"/>
      <w14:ligatures w14:val="none"/>
    </w:rPr>
  </w:style>
  <w:style w:type="character" w:customStyle="1" w:styleId="Heading5Char">
    <w:name w:val="Heading 5 Char"/>
    <w:basedOn w:val="DefaultParagraphFont"/>
    <w:link w:val="Heading5"/>
    <w:uiPriority w:val="9"/>
    <w:rPr>
      <w:rFonts w:ascii="Times New Roman" w:eastAsia="SimSun" w:hAnsi="Times New Roman" w:cs="SimSun"/>
      <w:color w:val="2F5496"/>
      <w:kern w:val="0"/>
      <w:sz w:val="24"/>
      <w:lang w:val="en-GB"/>
      <w14:ligatures w14:val="none"/>
    </w:rPr>
  </w:style>
  <w:style w:type="paragraph" w:customStyle="1" w:styleId="Default">
    <w:name w:val="Default"/>
    <w:link w:val="DefaultChar"/>
    <w:pPr>
      <w:autoSpaceDE w:val="0"/>
      <w:autoSpaceDN w:val="0"/>
      <w:adjustRightInd w:val="0"/>
      <w:spacing w:after="0" w:line="240" w:lineRule="auto"/>
    </w:pPr>
    <w:rPr>
      <w:rFonts w:cs="Calibri"/>
      <w:color w:val="000000"/>
      <w:kern w:val="0"/>
      <w:sz w:val="24"/>
      <w:szCs w:val="24"/>
      <w14:ligatures w14:val="none"/>
    </w:rPr>
  </w:style>
  <w:style w:type="paragraph" w:styleId="ListParagraph">
    <w:name w:val="List Paragraph"/>
    <w:basedOn w:val="Normal"/>
    <w:uiPriority w:val="1"/>
    <w:qFormat/>
    <w:pPr>
      <w:ind w:left="720"/>
      <w:contextualSpacing/>
    </w:pPr>
  </w:style>
  <w:style w:type="table" w:customStyle="1" w:styleId="GridTable1Light1">
    <w:name w:val="Grid Table 1 Light1"/>
    <w:basedOn w:val="TableNormal"/>
    <w:uiPriority w:val="46"/>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DefaultChar">
    <w:name w:val="Default Char"/>
    <w:basedOn w:val="DefaultParagraphFont"/>
    <w:link w:val="Default"/>
    <w:rPr>
      <w:rFonts w:ascii="Calibri" w:hAnsi="Calibri" w:cs="Calibri"/>
      <w:color w:val="000000"/>
      <w:kern w:val="0"/>
      <w:sz w:val="24"/>
      <w:szCs w:val="24"/>
      <w14:ligatures w14:val="none"/>
    </w:rPr>
  </w:style>
  <w:style w:type="character" w:customStyle="1" w:styleId="html-italic">
    <w:name w:val="html-italic"/>
    <w:basedOn w:val="DefaultParagraphFont"/>
    <w:rsid w:val="00FC17A0"/>
  </w:style>
  <w:style w:type="table" w:styleId="TableGrid">
    <w:name w:val="Table Grid"/>
    <w:basedOn w:val="TableNormal"/>
    <w:uiPriority w:val="39"/>
    <w:rsid w:val="00FC1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FC17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C17A0"/>
    <w:rPr>
      <w:color w:val="0563C1" w:themeColor="hyperlink"/>
      <w:u w:val="single"/>
    </w:rPr>
  </w:style>
  <w:style w:type="character" w:styleId="UnresolvedMention">
    <w:name w:val="Unresolved Mention"/>
    <w:basedOn w:val="DefaultParagraphFont"/>
    <w:uiPriority w:val="99"/>
    <w:semiHidden/>
    <w:unhideWhenUsed/>
    <w:rsid w:val="00FC17A0"/>
    <w:rPr>
      <w:color w:val="605E5C"/>
      <w:shd w:val="clear" w:color="auto" w:fill="E1DFDD"/>
    </w:rPr>
  </w:style>
  <w:style w:type="character" w:customStyle="1" w:styleId="Heading2Char">
    <w:name w:val="Heading 2 Char"/>
    <w:basedOn w:val="DefaultParagraphFont"/>
    <w:link w:val="Heading2"/>
    <w:uiPriority w:val="9"/>
    <w:semiHidden/>
    <w:rsid w:val="0030673B"/>
    <w:rPr>
      <w:rFonts w:asciiTheme="majorHAnsi" w:eastAsiaTheme="majorEastAsia" w:hAnsiTheme="majorHAnsi" w:cstheme="majorBidi"/>
      <w:color w:val="2F5496" w:themeColor="accent1" w:themeShade="BF"/>
      <w:kern w:val="0"/>
      <w:sz w:val="26"/>
      <w:szCs w:val="26"/>
      <w:lang w:val="en-GB"/>
      <w14:ligatures w14:val="none"/>
    </w:rPr>
  </w:style>
  <w:style w:type="character" w:customStyle="1" w:styleId="Heading6Char">
    <w:name w:val="Heading 6 Char"/>
    <w:basedOn w:val="DefaultParagraphFont"/>
    <w:link w:val="Heading6"/>
    <w:uiPriority w:val="9"/>
    <w:semiHidden/>
    <w:rsid w:val="0030673B"/>
    <w:rPr>
      <w:rFonts w:ascii="Calibri Light" w:eastAsia="SimSun" w:hAnsi="Calibri Light"/>
      <w:color w:val="1F3763"/>
      <w:kern w:val="0"/>
      <w:sz w:val="24"/>
      <w:lang w:val="en-GB"/>
      <w14:ligatures w14:val="none"/>
    </w:rPr>
  </w:style>
  <w:style w:type="character" w:styleId="FollowedHyperlink">
    <w:name w:val="FollowedHyperlink"/>
    <w:basedOn w:val="DefaultParagraphFont"/>
    <w:uiPriority w:val="99"/>
    <w:semiHidden/>
    <w:unhideWhenUsed/>
    <w:rsid w:val="0030673B"/>
    <w:rPr>
      <w:color w:val="954F72" w:themeColor="followedHyperlink"/>
      <w:u w:val="single"/>
    </w:rPr>
  </w:style>
  <w:style w:type="paragraph" w:customStyle="1" w:styleId="msonormal0">
    <w:name w:val="msonormal"/>
    <w:basedOn w:val="Normal"/>
    <w:uiPriority w:val="99"/>
    <w:rsid w:val="0030673B"/>
    <w:rPr>
      <w:rFonts w:cs="Times New Roman"/>
      <w:szCs w:val="24"/>
    </w:rPr>
  </w:style>
  <w:style w:type="paragraph" w:styleId="NormalWeb">
    <w:name w:val="Normal (Web)"/>
    <w:basedOn w:val="Normal"/>
    <w:uiPriority w:val="99"/>
    <w:semiHidden/>
    <w:unhideWhenUsed/>
    <w:rsid w:val="0030673B"/>
    <w:rPr>
      <w:rFonts w:cs="Times New Roman"/>
      <w:szCs w:val="24"/>
    </w:rPr>
  </w:style>
  <w:style w:type="paragraph" w:styleId="Header">
    <w:name w:val="header"/>
    <w:basedOn w:val="Normal"/>
    <w:link w:val="HeaderChar"/>
    <w:uiPriority w:val="99"/>
    <w:semiHidden/>
    <w:unhideWhenUsed/>
    <w:rsid w:val="003067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673B"/>
    <w:rPr>
      <w:rFonts w:ascii="Times New Roman" w:hAnsi="Times New Roman"/>
      <w:kern w:val="0"/>
      <w:sz w:val="24"/>
      <w:lang w:val="en-GB"/>
      <w14:ligatures w14:val="none"/>
    </w:rPr>
  </w:style>
  <w:style w:type="paragraph" w:styleId="Footer">
    <w:name w:val="footer"/>
    <w:basedOn w:val="Normal"/>
    <w:link w:val="FooterChar"/>
    <w:uiPriority w:val="99"/>
    <w:semiHidden/>
    <w:unhideWhenUsed/>
    <w:rsid w:val="003067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673B"/>
    <w:rPr>
      <w:rFonts w:ascii="Times New Roman" w:hAnsi="Times New Roman"/>
      <w:kern w:val="0"/>
      <w:sz w:val="24"/>
      <w:lang w:val="en-GB"/>
      <w14:ligatures w14:val="none"/>
    </w:rPr>
  </w:style>
  <w:style w:type="paragraph" w:styleId="Caption">
    <w:name w:val="caption"/>
    <w:basedOn w:val="Normal"/>
    <w:next w:val="Normal"/>
    <w:uiPriority w:val="99"/>
    <w:semiHidden/>
    <w:unhideWhenUsed/>
    <w:qFormat/>
    <w:rsid w:val="0030673B"/>
    <w:pPr>
      <w:spacing w:before="240" w:after="400" w:line="249" w:lineRule="auto"/>
      <w:jc w:val="left"/>
    </w:pPr>
    <w:rPr>
      <w:rFonts w:eastAsia="Times New Roman" w:cs="Arial"/>
      <w:bCs/>
      <w:szCs w:val="18"/>
      <w:lang w:val="en-MY"/>
    </w:rPr>
  </w:style>
  <w:style w:type="paragraph" w:styleId="BodyText">
    <w:name w:val="Body Text"/>
    <w:basedOn w:val="Normal"/>
    <w:link w:val="BodyTextChar"/>
    <w:uiPriority w:val="1"/>
    <w:semiHidden/>
    <w:unhideWhenUsed/>
    <w:qFormat/>
    <w:rsid w:val="0030673B"/>
    <w:pPr>
      <w:widowControl w:val="0"/>
      <w:spacing w:after="0" w:line="240" w:lineRule="auto"/>
      <w:jc w:val="left"/>
    </w:pPr>
    <w:rPr>
      <w:rFonts w:eastAsia="Times New Roman" w:cs="Times New Roman"/>
      <w:szCs w:val="24"/>
      <w:lang w:val="en-US"/>
    </w:rPr>
  </w:style>
  <w:style w:type="character" w:customStyle="1" w:styleId="BodyTextChar">
    <w:name w:val="Body Text Char"/>
    <w:basedOn w:val="DefaultParagraphFont"/>
    <w:link w:val="BodyText"/>
    <w:uiPriority w:val="1"/>
    <w:semiHidden/>
    <w:rsid w:val="0030673B"/>
    <w:rPr>
      <w:rFonts w:ascii="Times New Roman" w:eastAsia="Times New Roman" w:hAnsi="Times New Roman" w:cs="Times New Roman"/>
      <w:kern w:val="0"/>
      <w:sz w:val="24"/>
      <w:szCs w:val="24"/>
      <w14:ligatures w14:val="none"/>
    </w:rPr>
  </w:style>
  <w:style w:type="character" w:customStyle="1" w:styleId="NoSpacingChar">
    <w:name w:val="No Spacing Char"/>
    <w:link w:val="NoSpacing"/>
    <w:uiPriority w:val="1"/>
    <w:locked/>
    <w:rsid w:val="0030673B"/>
    <w:rPr>
      <w:kern w:val="0"/>
      <w:lang w:val="en-MY"/>
      <w14:ligatures w14:val="none"/>
    </w:rPr>
  </w:style>
  <w:style w:type="paragraph" w:styleId="NoSpacing">
    <w:name w:val="No Spacing"/>
    <w:link w:val="NoSpacingChar"/>
    <w:uiPriority w:val="1"/>
    <w:qFormat/>
    <w:rsid w:val="0030673B"/>
    <w:pPr>
      <w:spacing w:after="0" w:line="240" w:lineRule="auto"/>
    </w:pPr>
    <w:rPr>
      <w:kern w:val="0"/>
      <w:lang w:val="en-MY"/>
      <w14:ligatures w14:val="none"/>
    </w:rPr>
  </w:style>
  <w:style w:type="paragraph" w:customStyle="1" w:styleId="TableParagraph">
    <w:name w:val="Table Paragraph"/>
    <w:basedOn w:val="Normal"/>
    <w:uiPriority w:val="1"/>
    <w:qFormat/>
    <w:rsid w:val="0030673B"/>
    <w:pPr>
      <w:widowControl w:val="0"/>
      <w:spacing w:after="0" w:line="240" w:lineRule="auto"/>
      <w:jc w:val="left"/>
    </w:pPr>
    <w:rPr>
      <w:rFonts w:eastAsia="Times New Roman" w:cs="Times New Roman"/>
      <w:sz w:val="22"/>
      <w:lang w:val="en-US"/>
    </w:rPr>
  </w:style>
  <w:style w:type="paragraph" w:customStyle="1" w:styleId="TEXTABD">
    <w:name w:val="TEXT ABD"/>
    <w:basedOn w:val="BodyText"/>
    <w:uiPriority w:val="99"/>
    <w:qFormat/>
    <w:rsid w:val="0030673B"/>
    <w:pPr>
      <w:spacing w:before="6" w:line="360" w:lineRule="auto"/>
      <w:ind w:left="480" w:right="104" w:firstLine="720"/>
      <w:jc w:val="both"/>
    </w:pPr>
  </w:style>
  <w:style w:type="character" w:customStyle="1" w:styleId="AChar">
    <w:name w:val="A Char"/>
    <w:basedOn w:val="BodyTextChar"/>
    <w:link w:val="A"/>
    <w:locked/>
    <w:rsid w:val="0030673B"/>
    <w:rPr>
      <w:rFonts w:ascii="Times New Roman" w:eastAsia="Times New Roman" w:hAnsi="Times New Roman" w:cs="Times New Roman"/>
      <w:kern w:val="0"/>
      <w:sz w:val="24"/>
      <w:szCs w:val="24"/>
      <w14:ligatures w14:val="none"/>
    </w:rPr>
  </w:style>
  <w:style w:type="paragraph" w:customStyle="1" w:styleId="A">
    <w:name w:val="A"/>
    <w:basedOn w:val="BodyText"/>
    <w:link w:val="AChar"/>
    <w:qFormat/>
    <w:rsid w:val="0030673B"/>
    <w:pPr>
      <w:spacing w:before="6" w:line="360" w:lineRule="auto"/>
      <w:ind w:left="480" w:right="104"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438">
      <w:bodyDiv w:val="1"/>
      <w:marLeft w:val="0"/>
      <w:marRight w:val="0"/>
      <w:marTop w:val="0"/>
      <w:marBottom w:val="0"/>
      <w:divBdr>
        <w:top w:val="none" w:sz="0" w:space="0" w:color="auto"/>
        <w:left w:val="none" w:sz="0" w:space="0" w:color="auto"/>
        <w:bottom w:val="none" w:sz="0" w:space="0" w:color="auto"/>
        <w:right w:val="none" w:sz="0" w:space="0" w:color="auto"/>
      </w:divBdr>
    </w:div>
    <w:div w:id="28533852">
      <w:bodyDiv w:val="1"/>
      <w:marLeft w:val="0"/>
      <w:marRight w:val="0"/>
      <w:marTop w:val="0"/>
      <w:marBottom w:val="0"/>
      <w:divBdr>
        <w:top w:val="none" w:sz="0" w:space="0" w:color="auto"/>
        <w:left w:val="none" w:sz="0" w:space="0" w:color="auto"/>
        <w:bottom w:val="none" w:sz="0" w:space="0" w:color="auto"/>
        <w:right w:val="none" w:sz="0" w:space="0" w:color="auto"/>
      </w:divBdr>
    </w:div>
    <w:div w:id="61103716">
      <w:bodyDiv w:val="1"/>
      <w:marLeft w:val="0"/>
      <w:marRight w:val="0"/>
      <w:marTop w:val="0"/>
      <w:marBottom w:val="0"/>
      <w:divBdr>
        <w:top w:val="none" w:sz="0" w:space="0" w:color="auto"/>
        <w:left w:val="none" w:sz="0" w:space="0" w:color="auto"/>
        <w:bottom w:val="none" w:sz="0" w:space="0" w:color="auto"/>
        <w:right w:val="none" w:sz="0" w:space="0" w:color="auto"/>
      </w:divBdr>
    </w:div>
    <w:div w:id="80412814">
      <w:bodyDiv w:val="1"/>
      <w:marLeft w:val="0"/>
      <w:marRight w:val="0"/>
      <w:marTop w:val="0"/>
      <w:marBottom w:val="0"/>
      <w:divBdr>
        <w:top w:val="none" w:sz="0" w:space="0" w:color="auto"/>
        <w:left w:val="none" w:sz="0" w:space="0" w:color="auto"/>
        <w:bottom w:val="none" w:sz="0" w:space="0" w:color="auto"/>
        <w:right w:val="none" w:sz="0" w:space="0" w:color="auto"/>
      </w:divBdr>
    </w:div>
    <w:div w:id="154957797">
      <w:bodyDiv w:val="1"/>
      <w:marLeft w:val="0"/>
      <w:marRight w:val="0"/>
      <w:marTop w:val="0"/>
      <w:marBottom w:val="0"/>
      <w:divBdr>
        <w:top w:val="none" w:sz="0" w:space="0" w:color="auto"/>
        <w:left w:val="none" w:sz="0" w:space="0" w:color="auto"/>
        <w:bottom w:val="none" w:sz="0" w:space="0" w:color="auto"/>
        <w:right w:val="none" w:sz="0" w:space="0" w:color="auto"/>
      </w:divBdr>
    </w:div>
    <w:div w:id="159121980">
      <w:bodyDiv w:val="1"/>
      <w:marLeft w:val="0"/>
      <w:marRight w:val="0"/>
      <w:marTop w:val="0"/>
      <w:marBottom w:val="0"/>
      <w:divBdr>
        <w:top w:val="none" w:sz="0" w:space="0" w:color="auto"/>
        <w:left w:val="none" w:sz="0" w:space="0" w:color="auto"/>
        <w:bottom w:val="none" w:sz="0" w:space="0" w:color="auto"/>
        <w:right w:val="none" w:sz="0" w:space="0" w:color="auto"/>
      </w:divBdr>
    </w:div>
    <w:div w:id="179391406">
      <w:bodyDiv w:val="1"/>
      <w:marLeft w:val="0"/>
      <w:marRight w:val="0"/>
      <w:marTop w:val="0"/>
      <w:marBottom w:val="0"/>
      <w:divBdr>
        <w:top w:val="none" w:sz="0" w:space="0" w:color="auto"/>
        <w:left w:val="none" w:sz="0" w:space="0" w:color="auto"/>
        <w:bottom w:val="none" w:sz="0" w:space="0" w:color="auto"/>
        <w:right w:val="none" w:sz="0" w:space="0" w:color="auto"/>
      </w:divBdr>
    </w:div>
    <w:div w:id="192228445">
      <w:bodyDiv w:val="1"/>
      <w:marLeft w:val="0"/>
      <w:marRight w:val="0"/>
      <w:marTop w:val="0"/>
      <w:marBottom w:val="0"/>
      <w:divBdr>
        <w:top w:val="none" w:sz="0" w:space="0" w:color="auto"/>
        <w:left w:val="none" w:sz="0" w:space="0" w:color="auto"/>
        <w:bottom w:val="none" w:sz="0" w:space="0" w:color="auto"/>
        <w:right w:val="none" w:sz="0" w:space="0" w:color="auto"/>
      </w:divBdr>
    </w:div>
    <w:div w:id="259485412">
      <w:bodyDiv w:val="1"/>
      <w:marLeft w:val="0"/>
      <w:marRight w:val="0"/>
      <w:marTop w:val="0"/>
      <w:marBottom w:val="0"/>
      <w:divBdr>
        <w:top w:val="none" w:sz="0" w:space="0" w:color="auto"/>
        <w:left w:val="none" w:sz="0" w:space="0" w:color="auto"/>
        <w:bottom w:val="none" w:sz="0" w:space="0" w:color="auto"/>
        <w:right w:val="none" w:sz="0" w:space="0" w:color="auto"/>
      </w:divBdr>
    </w:div>
    <w:div w:id="300578424">
      <w:bodyDiv w:val="1"/>
      <w:marLeft w:val="0"/>
      <w:marRight w:val="0"/>
      <w:marTop w:val="0"/>
      <w:marBottom w:val="0"/>
      <w:divBdr>
        <w:top w:val="none" w:sz="0" w:space="0" w:color="auto"/>
        <w:left w:val="none" w:sz="0" w:space="0" w:color="auto"/>
        <w:bottom w:val="none" w:sz="0" w:space="0" w:color="auto"/>
        <w:right w:val="none" w:sz="0" w:space="0" w:color="auto"/>
      </w:divBdr>
    </w:div>
    <w:div w:id="303630761">
      <w:bodyDiv w:val="1"/>
      <w:marLeft w:val="0"/>
      <w:marRight w:val="0"/>
      <w:marTop w:val="0"/>
      <w:marBottom w:val="0"/>
      <w:divBdr>
        <w:top w:val="none" w:sz="0" w:space="0" w:color="auto"/>
        <w:left w:val="none" w:sz="0" w:space="0" w:color="auto"/>
        <w:bottom w:val="none" w:sz="0" w:space="0" w:color="auto"/>
        <w:right w:val="none" w:sz="0" w:space="0" w:color="auto"/>
      </w:divBdr>
    </w:div>
    <w:div w:id="337081004">
      <w:bodyDiv w:val="1"/>
      <w:marLeft w:val="0"/>
      <w:marRight w:val="0"/>
      <w:marTop w:val="0"/>
      <w:marBottom w:val="0"/>
      <w:divBdr>
        <w:top w:val="none" w:sz="0" w:space="0" w:color="auto"/>
        <w:left w:val="none" w:sz="0" w:space="0" w:color="auto"/>
        <w:bottom w:val="none" w:sz="0" w:space="0" w:color="auto"/>
        <w:right w:val="none" w:sz="0" w:space="0" w:color="auto"/>
      </w:divBdr>
    </w:div>
    <w:div w:id="355086046">
      <w:bodyDiv w:val="1"/>
      <w:marLeft w:val="0"/>
      <w:marRight w:val="0"/>
      <w:marTop w:val="0"/>
      <w:marBottom w:val="0"/>
      <w:divBdr>
        <w:top w:val="none" w:sz="0" w:space="0" w:color="auto"/>
        <w:left w:val="none" w:sz="0" w:space="0" w:color="auto"/>
        <w:bottom w:val="none" w:sz="0" w:space="0" w:color="auto"/>
        <w:right w:val="none" w:sz="0" w:space="0" w:color="auto"/>
      </w:divBdr>
    </w:div>
    <w:div w:id="364602838">
      <w:bodyDiv w:val="1"/>
      <w:marLeft w:val="0"/>
      <w:marRight w:val="0"/>
      <w:marTop w:val="0"/>
      <w:marBottom w:val="0"/>
      <w:divBdr>
        <w:top w:val="none" w:sz="0" w:space="0" w:color="auto"/>
        <w:left w:val="none" w:sz="0" w:space="0" w:color="auto"/>
        <w:bottom w:val="none" w:sz="0" w:space="0" w:color="auto"/>
        <w:right w:val="none" w:sz="0" w:space="0" w:color="auto"/>
      </w:divBdr>
    </w:div>
    <w:div w:id="368801521">
      <w:bodyDiv w:val="1"/>
      <w:marLeft w:val="0"/>
      <w:marRight w:val="0"/>
      <w:marTop w:val="0"/>
      <w:marBottom w:val="0"/>
      <w:divBdr>
        <w:top w:val="none" w:sz="0" w:space="0" w:color="auto"/>
        <w:left w:val="none" w:sz="0" w:space="0" w:color="auto"/>
        <w:bottom w:val="none" w:sz="0" w:space="0" w:color="auto"/>
        <w:right w:val="none" w:sz="0" w:space="0" w:color="auto"/>
      </w:divBdr>
    </w:div>
    <w:div w:id="382797421">
      <w:bodyDiv w:val="1"/>
      <w:marLeft w:val="0"/>
      <w:marRight w:val="0"/>
      <w:marTop w:val="0"/>
      <w:marBottom w:val="0"/>
      <w:divBdr>
        <w:top w:val="none" w:sz="0" w:space="0" w:color="auto"/>
        <w:left w:val="none" w:sz="0" w:space="0" w:color="auto"/>
        <w:bottom w:val="none" w:sz="0" w:space="0" w:color="auto"/>
        <w:right w:val="none" w:sz="0" w:space="0" w:color="auto"/>
      </w:divBdr>
    </w:div>
    <w:div w:id="389771071">
      <w:bodyDiv w:val="1"/>
      <w:marLeft w:val="0"/>
      <w:marRight w:val="0"/>
      <w:marTop w:val="0"/>
      <w:marBottom w:val="0"/>
      <w:divBdr>
        <w:top w:val="none" w:sz="0" w:space="0" w:color="auto"/>
        <w:left w:val="none" w:sz="0" w:space="0" w:color="auto"/>
        <w:bottom w:val="none" w:sz="0" w:space="0" w:color="auto"/>
        <w:right w:val="none" w:sz="0" w:space="0" w:color="auto"/>
      </w:divBdr>
    </w:div>
    <w:div w:id="422648596">
      <w:bodyDiv w:val="1"/>
      <w:marLeft w:val="0"/>
      <w:marRight w:val="0"/>
      <w:marTop w:val="0"/>
      <w:marBottom w:val="0"/>
      <w:divBdr>
        <w:top w:val="none" w:sz="0" w:space="0" w:color="auto"/>
        <w:left w:val="none" w:sz="0" w:space="0" w:color="auto"/>
        <w:bottom w:val="none" w:sz="0" w:space="0" w:color="auto"/>
        <w:right w:val="none" w:sz="0" w:space="0" w:color="auto"/>
      </w:divBdr>
    </w:div>
    <w:div w:id="427775736">
      <w:bodyDiv w:val="1"/>
      <w:marLeft w:val="0"/>
      <w:marRight w:val="0"/>
      <w:marTop w:val="0"/>
      <w:marBottom w:val="0"/>
      <w:divBdr>
        <w:top w:val="none" w:sz="0" w:space="0" w:color="auto"/>
        <w:left w:val="none" w:sz="0" w:space="0" w:color="auto"/>
        <w:bottom w:val="none" w:sz="0" w:space="0" w:color="auto"/>
        <w:right w:val="none" w:sz="0" w:space="0" w:color="auto"/>
      </w:divBdr>
    </w:div>
    <w:div w:id="442503102">
      <w:bodyDiv w:val="1"/>
      <w:marLeft w:val="0"/>
      <w:marRight w:val="0"/>
      <w:marTop w:val="0"/>
      <w:marBottom w:val="0"/>
      <w:divBdr>
        <w:top w:val="none" w:sz="0" w:space="0" w:color="auto"/>
        <w:left w:val="none" w:sz="0" w:space="0" w:color="auto"/>
        <w:bottom w:val="none" w:sz="0" w:space="0" w:color="auto"/>
        <w:right w:val="none" w:sz="0" w:space="0" w:color="auto"/>
      </w:divBdr>
    </w:div>
    <w:div w:id="457064522">
      <w:bodyDiv w:val="1"/>
      <w:marLeft w:val="0"/>
      <w:marRight w:val="0"/>
      <w:marTop w:val="0"/>
      <w:marBottom w:val="0"/>
      <w:divBdr>
        <w:top w:val="none" w:sz="0" w:space="0" w:color="auto"/>
        <w:left w:val="none" w:sz="0" w:space="0" w:color="auto"/>
        <w:bottom w:val="none" w:sz="0" w:space="0" w:color="auto"/>
        <w:right w:val="none" w:sz="0" w:space="0" w:color="auto"/>
      </w:divBdr>
    </w:div>
    <w:div w:id="506554179">
      <w:bodyDiv w:val="1"/>
      <w:marLeft w:val="0"/>
      <w:marRight w:val="0"/>
      <w:marTop w:val="0"/>
      <w:marBottom w:val="0"/>
      <w:divBdr>
        <w:top w:val="none" w:sz="0" w:space="0" w:color="auto"/>
        <w:left w:val="none" w:sz="0" w:space="0" w:color="auto"/>
        <w:bottom w:val="none" w:sz="0" w:space="0" w:color="auto"/>
        <w:right w:val="none" w:sz="0" w:space="0" w:color="auto"/>
      </w:divBdr>
    </w:div>
    <w:div w:id="513111288">
      <w:bodyDiv w:val="1"/>
      <w:marLeft w:val="0"/>
      <w:marRight w:val="0"/>
      <w:marTop w:val="0"/>
      <w:marBottom w:val="0"/>
      <w:divBdr>
        <w:top w:val="none" w:sz="0" w:space="0" w:color="auto"/>
        <w:left w:val="none" w:sz="0" w:space="0" w:color="auto"/>
        <w:bottom w:val="none" w:sz="0" w:space="0" w:color="auto"/>
        <w:right w:val="none" w:sz="0" w:space="0" w:color="auto"/>
      </w:divBdr>
    </w:div>
    <w:div w:id="520900322">
      <w:bodyDiv w:val="1"/>
      <w:marLeft w:val="0"/>
      <w:marRight w:val="0"/>
      <w:marTop w:val="0"/>
      <w:marBottom w:val="0"/>
      <w:divBdr>
        <w:top w:val="none" w:sz="0" w:space="0" w:color="auto"/>
        <w:left w:val="none" w:sz="0" w:space="0" w:color="auto"/>
        <w:bottom w:val="none" w:sz="0" w:space="0" w:color="auto"/>
        <w:right w:val="none" w:sz="0" w:space="0" w:color="auto"/>
      </w:divBdr>
    </w:div>
    <w:div w:id="576479587">
      <w:bodyDiv w:val="1"/>
      <w:marLeft w:val="0"/>
      <w:marRight w:val="0"/>
      <w:marTop w:val="0"/>
      <w:marBottom w:val="0"/>
      <w:divBdr>
        <w:top w:val="none" w:sz="0" w:space="0" w:color="auto"/>
        <w:left w:val="none" w:sz="0" w:space="0" w:color="auto"/>
        <w:bottom w:val="none" w:sz="0" w:space="0" w:color="auto"/>
        <w:right w:val="none" w:sz="0" w:space="0" w:color="auto"/>
      </w:divBdr>
    </w:div>
    <w:div w:id="608661646">
      <w:bodyDiv w:val="1"/>
      <w:marLeft w:val="0"/>
      <w:marRight w:val="0"/>
      <w:marTop w:val="0"/>
      <w:marBottom w:val="0"/>
      <w:divBdr>
        <w:top w:val="none" w:sz="0" w:space="0" w:color="auto"/>
        <w:left w:val="none" w:sz="0" w:space="0" w:color="auto"/>
        <w:bottom w:val="none" w:sz="0" w:space="0" w:color="auto"/>
        <w:right w:val="none" w:sz="0" w:space="0" w:color="auto"/>
      </w:divBdr>
    </w:div>
    <w:div w:id="679431362">
      <w:bodyDiv w:val="1"/>
      <w:marLeft w:val="0"/>
      <w:marRight w:val="0"/>
      <w:marTop w:val="0"/>
      <w:marBottom w:val="0"/>
      <w:divBdr>
        <w:top w:val="none" w:sz="0" w:space="0" w:color="auto"/>
        <w:left w:val="none" w:sz="0" w:space="0" w:color="auto"/>
        <w:bottom w:val="none" w:sz="0" w:space="0" w:color="auto"/>
        <w:right w:val="none" w:sz="0" w:space="0" w:color="auto"/>
      </w:divBdr>
    </w:div>
    <w:div w:id="699090614">
      <w:bodyDiv w:val="1"/>
      <w:marLeft w:val="0"/>
      <w:marRight w:val="0"/>
      <w:marTop w:val="0"/>
      <w:marBottom w:val="0"/>
      <w:divBdr>
        <w:top w:val="none" w:sz="0" w:space="0" w:color="auto"/>
        <w:left w:val="none" w:sz="0" w:space="0" w:color="auto"/>
        <w:bottom w:val="none" w:sz="0" w:space="0" w:color="auto"/>
        <w:right w:val="none" w:sz="0" w:space="0" w:color="auto"/>
      </w:divBdr>
    </w:div>
    <w:div w:id="737627979">
      <w:bodyDiv w:val="1"/>
      <w:marLeft w:val="0"/>
      <w:marRight w:val="0"/>
      <w:marTop w:val="0"/>
      <w:marBottom w:val="0"/>
      <w:divBdr>
        <w:top w:val="none" w:sz="0" w:space="0" w:color="auto"/>
        <w:left w:val="none" w:sz="0" w:space="0" w:color="auto"/>
        <w:bottom w:val="none" w:sz="0" w:space="0" w:color="auto"/>
        <w:right w:val="none" w:sz="0" w:space="0" w:color="auto"/>
      </w:divBdr>
    </w:div>
    <w:div w:id="768425009">
      <w:bodyDiv w:val="1"/>
      <w:marLeft w:val="0"/>
      <w:marRight w:val="0"/>
      <w:marTop w:val="0"/>
      <w:marBottom w:val="0"/>
      <w:divBdr>
        <w:top w:val="none" w:sz="0" w:space="0" w:color="auto"/>
        <w:left w:val="none" w:sz="0" w:space="0" w:color="auto"/>
        <w:bottom w:val="none" w:sz="0" w:space="0" w:color="auto"/>
        <w:right w:val="none" w:sz="0" w:space="0" w:color="auto"/>
      </w:divBdr>
    </w:div>
    <w:div w:id="810093482">
      <w:bodyDiv w:val="1"/>
      <w:marLeft w:val="0"/>
      <w:marRight w:val="0"/>
      <w:marTop w:val="0"/>
      <w:marBottom w:val="0"/>
      <w:divBdr>
        <w:top w:val="none" w:sz="0" w:space="0" w:color="auto"/>
        <w:left w:val="none" w:sz="0" w:space="0" w:color="auto"/>
        <w:bottom w:val="none" w:sz="0" w:space="0" w:color="auto"/>
        <w:right w:val="none" w:sz="0" w:space="0" w:color="auto"/>
      </w:divBdr>
    </w:div>
    <w:div w:id="828253449">
      <w:bodyDiv w:val="1"/>
      <w:marLeft w:val="0"/>
      <w:marRight w:val="0"/>
      <w:marTop w:val="0"/>
      <w:marBottom w:val="0"/>
      <w:divBdr>
        <w:top w:val="none" w:sz="0" w:space="0" w:color="auto"/>
        <w:left w:val="none" w:sz="0" w:space="0" w:color="auto"/>
        <w:bottom w:val="none" w:sz="0" w:space="0" w:color="auto"/>
        <w:right w:val="none" w:sz="0" w:space="0" w:color="auto"/>
      </w:divBdr>
    </w:div>
    <w:div w:id="828834380">
      <w:bodyDiv w:val="1"/>
      <w:marLeft w:val="0"/>
      <w:marRight w:val="0"/>
      <w:marTop w:val="0"/>
      <w:marBottom w:val="0"/>
      <w:divBdr>
        <w:top w:val="none" w:sz="0" w:space="0" w:color="auto"/>
        <w:left w:val="none" w:sz="0" w:space="0" w:color="auto"/>
        <w:bottom w:val="none" w:sz="0" w:space="0" w:color="auto"/>
        <w:right w:val="none" w:sz="0" w:space="0" w:color="auto"/>
      </w:divBdr>
    </w:div>
    <w:div w:id="838423375">
      <w:bodyDiv w:val="1"/>
      <w:marLeft w:val="0"/>
      <w:marRight w:val="0"/>
      <w:marTop w:val="0"/>
      <w:marBottom w:val="0"/>
      <w:divBdr>
        <w:top w:val="none" w:sz="0" w:space="0" w:color="auto"/>
        <w:left w:val="none" w:sz="0" w:space="0" w:color="auto"/>
        <w:bottom w:val="none" w:sz="0" w:space="0" w:color="auto"/>
        <w:right w:val="none" w:sz="0" w:space="0" w:color="auto"/>
      </w:divBdr>
    </w:div>
    <w:div w:id="880555974">
      <w:bodyDiv w:val="1"/>
      <w:marLeft w:val="0"/>
      <w:marRight w:val="0"/>
      <w:marTop w:val="0"/>
      <w:marBottom w:val="0"/>
      <w:divBdr>
        <w:top w:val="none" w:sz="0" w:space="0" w:color="auto"/>
        <w:left w:val="none" w:sz="0" w:space="0" w:color="auto"/>
        <w:bottom w:val="none" w:sz="0" w:space="0" w:color="auto"/>
        <w:right w:val="none" w:sz="0" w:space="0" w:color="auto"/>
      </w:divBdr>
    </w:div>
    <w:div w:id="1044252874">
      <w:bodyDiv w:val="1"/>
      <w:marLeft w:val="0"/>
      <w:marRight w:val="0"/>
      <w:marTop w:val="0"/>
      <w:marBottom w:val="0"/>
      <w:divBdr>
        <w:top w:val="none" w:sz="0" w:space="0" w:color="auto"/>
        <w:left w:val="none" w:sz="0" w:space="0" w:color="auto"/>
        <w:bottom w:val="none" w:sz="0" w:space="0" w:color="auto"/>
        <w:right w:val="none" w:sz="0" w:space="0" w:color="auto"/>
      </w:divBdr>
    </w:div>
    <w:div w:id="1064641721">
      <w:bodyDiv w:val="1"/>
      <w:marLeft w:val="0"/>
      <w:marRight w:val="0"/>
      <w:marTop w:val="0"/>
      <w:marBottom w:val="0"/>
      <w:divBdr>
        <w:top w:val="none" w:sz="0" w:space="0" w:color="auto"/>
        <w:left w:val="none" w:sz="0" w:space="0" w:color="auto"/>
        <w:bottom w:val="none" w:sz="0" w:space="0" w:color="auto"/>
        <w:right w:val="none" w:sz="0" w:space="0" w:color="auto"/>
      </w:divBdr>
    </w:div>
    <w:div w:id="1090197650">
      <w:bodyDiv w:val="1"/>
      <w:marLeft w:val="0"/>
      <w:marRight w:val="0"/>
      <w:marTop w:val="0"/>
      <w:marBottom w:val="0"/>
      <w:divBdr>
        <w:top w:val="none" w:sz="0" w:space="0" w:color="auto"/>
        <w:left w:val="none" w:sz="0" w:space="0" w:color="auto"/>
        <w:bottom w:val="none" w:sz="0" w:space="0" w:color="auto"/>
        <w:right w:val="none" w:sz="0" w:space="0" w:color="auto"/>
      </w:divBdr>
    </w:div>
    <w:div w:id="1095251225">
      <w:bodyDiv w:val="1"/>
      <w:marLeft w:val="0"/>
      <w:marRight w:val="0"/>
      <w:marTop w:val="0"/>
      <w:marBottom w:val="0"/>
      <w:divBdr>
        <w:top w:val="none" w:sz="0" w:space="0" w:color="auto"/>
        <w:left w:val="none" w:sz="0" w:space="0" w:color="auto"/>
        <w:bottom w:val="none" w:sz="0" w:space="0" w:color="auto"/>
        <w:right w:val="none" w:sz="0" w:space="0" w:color="auto"/>
      </w:divBdr>
    </w:div>
    <w:div w:id="1100873960">
      <w:bodyDiv w:val="1"/>
      <w:marLeft w:val="0"/>
      <w:marRight w:val="0"/>
      <w:marTop w:val="0"/>
      <w:marBottom w:val="0"/>
      <w:divBdr>
        <w:top w:val="none" w:sz="0" w:space="0" w:color="auto"/>
        <w:left w:val="none" w:sz="0" w:space="0" w:color="auto"/>
        <w:bottom w:val="none" w:sz="0" w:space="0" w:color="auto"/>
        <w:right w:val="none" w:sz="0" w:space="0" w:color="auto"/>
      </w:divBdr>
    </w:div>
    <w:div w:id="1107190149">
      <w:bodyDiv w:val="1"/>
      <w:marLeft w:val="0"/>
      <w:marRight w:val="0"/>
      <w:marTop w:val="0"/>
      <w:marBottom w:val="0"/>
      <w:divBdr>
        <w:top w:val="none" w:sz="0" w:space="0" w:color="auto"/>
        <w:left w:val="none" w:sz="0" w:space="0" w:color="auto"/>
        <w:bottom w:val="none" w:sz="0" w:space="0" w:color="auto"/>
        <w:right w:val="none" w:sz="0" w:space="0" w:color="auto"/>
      </w:divBdr>
    </w:div>
    <w:div w:id="1127971080">
      <w:bodyDiv w:val="1"/>
      <w:marLeft w:val="0"/>
      <w:marRight w:val="0"/>
      <w:marTop w:val="0"/>
      <w:marBottom w:val="0"/>
      <w:divBdr>
        <w:top w:val="none" w:sz="0" w:space="0" w:color="auto"/>
        <w:left w:val="none" w:sz="0" w:space="0" w:color="auto"/>
        <w:bottom w:val="none" w:sz="0" w:space="0" w:color="auto"/>
        <w:right w:val="none" w:sz="0" w:space="0" w:color="auto"/>
      </w:divBdr>
    </w:div>
    <w:div w:id="1170414355">
      <w:bodyDiv w:val="1"/>
      <w:marLeft w:val="0"/>
      <w:marRight w:val="0"/>
      <w:marTop w:val="0"/>
      <w:marBottom w:val="0"/>
      <w:divBdr>
        <w:top w:val="none" w:sz="0" w:space="0" w:color="auto"/>
        <w:left w:val="none" w:sz="0" w:space="0" w:color="auto"/>
        <w:bottom w:val="none" w:sz="0" w:space="0" w:color="auto"/>
        <w:right w:val="none" w:sz="0" w:space="0" w:color="auto"/>
      </w:divBdr>
    </w:div>
    <w:div w:id="1189685272">
      <w:bodyDiv w:val="1"/>
      <w:marLeft w:val="0"/>
      <w:marRight w:val="0"/>
      <w:marTop w:val="0"/>
      <w:marBottom w:val="0"/>
      <w:divBdr>
        <w:top w:val="none" w:sz="0" w:space="0" w:color="auto"/>
        <w:left w:val="none" w:sz="0" w:space="0" w:color="auto"/>
        <w:bottom w:val="none" w:sz="0" w:space="0" w:color="auto"/>
        <w:right w:val="none" w:sz="0" w:space="0" w:color="auto"/>
      </w:divBdr>
    </w:div>
    <w:div w:id="1221864393">
      <w:bodyDiv w:val="1"/>
      <w:marLeft w:val="0"/>
      <w:marRight w:val="0"/>
      <w:marTop w:val="0"/>
      <w:marBottom w:val="0"/>
      <w:divBdr>
        <w:top w:val="none" w:sz="0" w:space="0" w:color="auto"/>
        <w:left w:val="none" w:sz="0" w:space="0" w:color="auto"/>
        <w:bottom w:val="none" w:sz="0" w:space="0" w:color="auto"/>
        <w:right w:val="none" w:sz="0" w:space="0" w:color="auto"/>
      </w:divBdr>
    </w:div>
    <w:div w:id="1222405565">
      <w:bodyDiv w:val="1"/>
      <w:marLeft w:val="0"/>
      <w:marRight w:val="0"/>
      <w:marTop w:val="0"/>
      <w:marBottom w:val="0"/>
      <w:divBdr>
        <w:top w:val="none" w:sz="0" w:space="0" w:color="auto"/>
        <w:left w:val="none" w:sz="0" w:space="0" w:color="auto"/>
        <w:bottom w:val="none" w:sz="0" w:space="0" w:color="auto"/>
        <w:right w:val="none" w:sz="0" w:space="0" w:color="auto"/>
      </w:divBdr>
    </w:div>
    <w:div w:id="1233855691">
      <w:bodyDiv w:val="1"/>
      <w:marLeft w:val="0"/>
      <w:marRight w:val="0"/>
      <w:marTop w:val="0"/>
      <w:marBottom w:val="0"/>
      <w:divBdr>
        <w:top w:val="none" w:sz="0" w:space="0" w:color="auto"/>
        <w:left w:val="none" w:sz="0" w:space="0" w:color="auto"/>
        <w:bottom w:val="none" w:sz="0" w:space="0" w:color="auto"/>
        <w:right w:val="none" w:sz="0" w:space="0" w:color="auto"/>
      </w:divBdr>
    </w:div>
    <w:div w:id="1247954298">
      <w:bodyDiv w:val="1"/>
      <w:marLeft w:val="0"/>
      <w:marRight w:val="0"/>
      <w:marTop w:val="0"/>
      <w:marBottom w:val="0"/>
      <w:divBdr>
        <w:top w:val="none" w:sz="0" w:space="0" w:color="auto"/>
        <w:left w:val="none" w:sz="0" w:space="0" w:color="auto"/>
        <w:bottom w:val="none" w:sz="0" w:space="0" w:color="auto"/>
        <w:right w:val="none" w:sz="0" w:space="0" w:color="auto"/>
      </w:divBdr>
    </w:div>
    <w:div w:id="1250386959">
      <w:bodyDiv w:val="1"/>
      <w:marLeft w:val="0"/>
      <w:marRight w:val="0"/>
      <w:marTop w:val="0"/>
      <w:marBottom w:val="0"/>
      <w:divBdr>
        <w:top w:val="none" w:sz="0" w:space="0" w:color="auto"/>
        <w:left w:val="none" w:sz="0" w:space="0" w:color="auto"/>
        <w:bottom w:val="none" w:sz="0" w:space="0" w:color="auto"/>
        <w:right w:val="none" w:sz="0" w:space="0" w:color="auto"/>
      </w:divBdr>
    </w:div>
    <w:div w:id="1252086604">
      <w:bodyDiv w:val="1"/>
      <w:marLeft w:val="0"/>
      <w:marRight w:val="0"/>
      <w:marTop w:val="0"/>
      <w:marBottom w:val="0"/>
      <w:divBdr>
        <w:top w:val="none" w:sz="0" w:space="0" w:color="auto"/>
        <w:left w:val="none" w:sz="0" w:space="0" w:color="auto"/>
        <w:bottom w:val="none" w:sz="0" w:space="0" w:color="auto"/>
        <w:right w:val="none" w:sz="0" w:space="0" w:color="auto"/>
      </w:divBdr>
    </w:div>
    <w:div w:id="1269772140">
      <w:bodyDiv w:val="1"/>
      <w:marLeft w:val="0"/>
      <w:marRight w:val="0"/>
      <w:marTop w:val="0"/>
      <w:marBottom w:val="0"/>
      <w:divBdr>
        <w:top w:val="none" w:sz="0" w:space="0" w:color="auto"/>
        <w:left w:val="none" w:sz="0" w:space="0" w:color="auto"/>
        <w:bottom w:val="none" w:sz="0" w:space="0" w:color="auto"/>
        <w:right w:val="none" w:sz="0" w:space="0" w:color="auto"/>
      </w:divBdr>
    </w:div>
    <w:div w:id="1327322870">
      <w:bodyDiv w:val="1"/>
      <w:marLeft w:val="0"/>
      <w:marRight w:val="0"/>
      <w:marTop w:val="0"/>
      <w:marBottom w:val="0"/>
      <w:divBdr>
        <w:top w:val="none" w:sz="0" w:space="0" w:color="auto"/>
        <w:left w:val="none" w:sz="0" w:space="0" w:color="auto"/>
        <w:bottom w:val="none" w:sz="0" w:space="0" w:color="auto"/>
        <w:right w:val="none" w:sz="0" w:space="0" w:color="auto"/>
      </w:divBdr>
    </w:div>
    <w:div w:id="1353453985">
      <w:bodyDiv w:val="1"/>
      <w:marLeft w:val="0"/>
      <w:marRight w:val="0"/>
      <w:marTop w:val="0"/>
      <w:marBottom w:val="0"/>
      <w:divBdr>
        <w:top w:val="none" w:sz="0" w:space="0" w:color="auto"/>
        <w:left w:val="none" w:sz="0" w:space="0" w:color="auto"/>
        <w:bottom w:val="none" w:sz="0" w:space="0" w:color="auto"/>
        <w:right w:val="none" w:sz="0" w:space="0" w:color="auto"/>
      </w:divBdr>
    </w:div>
    <w:div w:id="1365442892">
      <w:bodyDiv w:val="1"/>
      <w:marLeft w:val="0"/>
      <w:marRight w:val="0"/>
      <w:marTop w:val="0"/>
      <w:marBottom w:val="0"/>
      <w:divBdr>
        <w:top w:val="none" w:sz="0" w:space="0" w:color="auto"/>
        <w:left w:val="none" w:sz="0" w:space="0" w:color="auto"/>
        <w:bottom w:val="none" w:sz="0" w:space="0" w:color="auto"/>
        <w:right w:val="none" w:sz="0" w:space="0" w:color="auto"/>
      </w:divBdr>
    </w:div>
    <w:div w:id="1369573692">
      <w:bodyDiv w:val="1"/>
      <w:marLeft w:val="0"/>
      <w:marRight w:val="0"/>
      <w:marTop w:val="0"/>
      <w:marBottom w:val="0"/>
      <w:divBdr>
        <w:top w:val="none" w:sz="0" w:space="0" w:color="auto"/>
        <w:left w:val="none" w:sz="0" w:space="0" w:color="auto"/>
        <w:bottom w:val="none" w:sz="0" w:space="0" w:color="auto"/>
        <w:right w:val="none" w:sz="0" w:space="0" w:color="auto"/>
      </w:divBdr>
    </w:div>
    <w:div w:id="1371804437">
      <w:bodyDiv w:val="1"/>
      <w:marLeft w:val="0"/>
      <w:marRight w:val="0"/>
      <w:marTop w:val="0"/>
      <w:marBottom w:val="0"/>
      <w:divBdr>
        <w:top w:val="none" w:sz="0" w:space="0" w:color="auto"/>
        <w:left w:val="none" w:sz="0" w:space="0" w:color="auto"/>
        <w:bottom w:val="none" w:sz="0" w:space="0" w:color="auto"/>
        <w:right w:val="none" w:sz="0" w:space="0" w:color="auto"/>
      </w:divBdr>
    </w:div>
    <w:div w:id="1376127440">
      <w:bodyDiv w:val="1"/>
      <w:marLeft w:val="0"/>
      <w:marRight w:val="0"/>
      <w:marTop w:val="0"/>
      <w:marBottom w:val="0"/>
      <w:divBdr>
        <w:top w:val="none" w:sz="0" w:space="0" w:color="auto"/>
        <w:left w:val="none" w:sz="0" w:space="0" w:color="auto"/>
        <w:bottom w:val="none" w:sz="0" w:space="0" w:color="auto"/>
        <w:right w:val="none" w:sz="0" w:space="0" w:color="auto"/>
      </w:divBdr>
    </w:div>
    <w:div w:id="1379355302">
      <w:bodyDiv w:val="1"/>
      <w:marLeft w:val="0"/>
      <w:marRight w:val="0"/>
      <w:marTop w:val="0"/>
      <w:marBottom w:val="0"/>
      <w:divBdr>
        <w:top w:val="none" w:sz="0" w:space="0" w:color="auto"/>
        <w:left w:val="none" w:sz="0" w:space="0" w:color="auto"/>
        <w:bottom w:val="none" w:sz="0" w:space="0" w:color="auto"/>
        <w:right w:val="none" w:sz="0" w:space="0" w:color="auto"/>
      </w:divBdr>
    </w:div>
    <w:div w:id="1415711775">
      <w:bodyDiv w:val="1"/>
      <w:marLeft w:val="0"/>
      <w:marRight w:val="0"/>
      <w:marTop w:val="0"/>
      <w:marBottom w:val="0"/>
      <w:divBdr>
        <w:top w:val="none" w:sz="0" w:space="0" w:color="auto"/>
        <w:left w:val="none" w:sz="0" w:space="0" w:color="auto"/>
        <w:bottom w:val="none" w:sz="0" w:space="0" w:color="auto"/>
        <w:right w:val="none" w:sz="0" w:space="0" w:color="auto"/>
      </w:divBdr>
    </w:div>
    <w:div w:id="1436173416">
      <w:bodyDiv w:val="1"/>
      <w:marLeft w:val="0"/>
      <w:marRight w:val="0"/>
      <w:marTop w:val="0"/>
      <w:marBottom w:val="0"/>
      <w:divBdr>
        <w:top w:val="none" w:sz="0" w:space="0" w:color="auto"/>
        <w:left w:val="none" w:sz="0" w:space="0" w:color="auto"/>
        <w:bottom w:val="none" w:sz="0" w:space="0" w:color="auto"/>
        <w:right w:val="none" w:sz="0" w:space="0" w:color="auto"/>
      </w:divBdr>
    </w:div>
    <w:div w:id="1437600047">
      <w:bodyDiv w:val="1"/>
      <w:marLeft w:val="0"/>
      <w:marRight w:val="0"/>
      <w:marTop w:val="0"/>
      <w:marBottom w:val="0"/>
      <w:divBdr>
        <w:top w:val="none" w:sz="0" w:space="0" w:color="auto"/>
        <w:left w:val="none" w:sz="0" w:space="0" w:color="auto"/>
        <w:bottom w:val="none" w:sz="0" w:space="0" w:color="auto"/>
        <w:right w:val="none" w:sz="0" w:space="0" w:color="auto"/>
      </w:divBdr>
    </w:div>
    <w:div w:id="1470393772">
      <w:bodyDiv w:val="1"/>
      <w:marLeft w:val="0"/>
      <w:marRight w:val="0"/>
      <w:marTop w:val="0"/>
      <w:marBottom w:val="0"/>
      <w:divBdr>
        <w:top w:val="none" w:sz="0" w:space="0" w:color="auto"/>
        <w:left w:val="none" w:sz="0" w:space="0" w:color="auto"/>
        <w:bottom w:val="none" w:sz="0" w:space="0" w:color="auto"/>
        <w:right w:val="none" w:sz="0" w:space="0" w:color="auto"/>
      </w:divBdr>
    </w:div>
    <w:div w:id="1476993293">
      <w:bodyDiv w:val="1"/>
      <w:marLeft w:val="0"/>
      <w:marRight w:val="0"/>
      <w:marTop w:val="0"/>
      <w:marBottom w:val="0"/>
      <w:divBdr>
        <w:top w:val="none" w:sz="0" w:space="0" w:color="auto"/>
        <w:left w:val="none" w:sz="0" w:space="0" w:color="auto"/>
        <w:bottom w:val="none" w:sz="0" w:space="0" w:color="auto"/>
        <w:right w:val="none" w:sz="0" w:space="0" w:color="auto"/>
      </w:divBdr>
    </w:div>
    <w:div w:id="1568567158">
      <w:bodyDiv w:val="1"/>
      <w:marLeft w:val="0"/>
      <w:marRight w:val="0"/>
      <w:marTop w:val="0"/>
      <w:marBottom w:val="0"/>
      <w:divBdr>
        <w:top w:val="none" w:sz="0" w:space="0" w:color="auto"/>
        <w:left w:val="none" w:sz="0" w:space="0" w:color="auto"/>
        <w:bottom w:val="none" w:sz="0" w:space="0" w:color="auto"/>
        <w:right w:val="none" w:sz="0" w:space="0" w:color="auto"/>
      </w:divBdr>
    </w:div>
    <w:div w:id="1581601714">
      <w:bodyDiv w:val="1"/>
      <w:marLeft w:val="0"/>
      <w:marRight w:val="0"/>
      <w:marTop w:val="0"/>
      <w:marBottom w:val="0"/>
      <w:divBdr>
        <w:top w:val="none" w:sz="0" w:space="0" w:color="auto"/>
        <w:left w:val="none" w:sz="0" w:space="0" w:color="auto"/>
        <w:bottom w:val="none" w:sz="0" w:space="0" w:color="auto"/>
        <w:right w:val="none" w:sz="0" w:space="0" w:color="auto"/>
      </w:divBdr>
    </w:div>
    <w:div w:id="1592932861">
      <w:bodyDiv w:val="1"/>
      <w:marLeft w:val="0"/>
      <w:marRight w:val="0"/>
      <w:marTop w:val="0"/>
      <w:marBottom w:val="0"/>
      <w:divBdr>
        <w:top w:val="none" w:sz="0" w:space="0" w:color="auto"/>
        <w:left w:val="none" w:sz="0" w:space="0" w:color="auto"/>
        <w:bottom w:val="none" w:sz="0" w:space="0" w:color="auto"/>
        <w:right w:val="none" w:sz="0" w:space="0" w:color="auto"/>
      </w:divBdr>
    </w:div>
    <w:div w:id="1609239089">
      <w:bodyDiv w:val="1"/>
      <w:marLeft w:val="0"/>
      <w:marRight w:val="0"/>
      <w:marTop w:val="0"/>
      <w:marBottom w:val="0"/>
      <w:divBdr>
        <w:top w:val="none" w:sz="0" w:space="0" w:color="auto"/>
        <w:left w:val="none" w:sz="0" w:space="0" w:color="auto"/>
        <w:bottom w:val="none" w:sz="0" w:space="0" w:color="auto"/>
        <w:right w:val="none" w:sz="0" w:space="0" w:color="auto"/>
      </w:divBdr>
    </w:div>
    <w:div w:id="1690330528">
      <w:bodyDiv w:val="1"/>
      <w:marLeft w:val="0"/>
      <w:marRight w:val="0"/>
      <w:marTop w:val="0"/>
      <w:marBottom w:val="0"/>
      <w:divBdr>
        <w:top w:val="none" w:sz="0" w:space="0" w:color="auto"/>
        <w:left w:val="none" w:sz="0" w:space="0" w:color="auto"/>
        <w:bottom w:val="none" w:sz="0" w:space="0" w:color="auto"/>
        <w:right w:val="none" w:sz="0" w:space="0" w:color="auto"/>
      </w:divBdr>
    </w:div>
    <w:div w:id="1721661589">
      <w:bodyDiv w:val="1"/>
      <w:marLeft w:val="0"/>
      <w:marRight w:val="0"/>
      <w:marTop w:val="0"/>
      <w:marBottom w:val="0"/>
      <w:divBdr>
        <w:top w:val="none" w:sz="0" w:space="0" w:color="auto"/>
        <w:left w:val="none" w:sz="0" w:space="0" w:color="auto"/>
        <w:bottom w:val="none" w:sz="0" w:space="0" w:color="auto"/>
        <w:right w:val="none" w:sz="0" w:space="0" w:color="auto"/>
      </w:divBdr>
    </w:div>
    <w:div w:id="1728841713">
      <w:bodyDiv w:val="1"/>
      <w:marLeft w:val="0"/>
      <w:marRight w:val="0"/>
      <w:marTop w:val="0"/>
      <w:marBottom w:val="0"/>
      <w:divBdr>
        <w:top w:val="none" w:sz="0" w:space="0" w:color="auto"/>
        <w:left w:val="none" w:sz="0" w:space="0" w:color="auto"/>
        <w:bottom w:val="none" w:sz="0" w:space="0" w:color="auto"/>
        <w:right w:val="none" w:sz="0" w:space="0" w:color="auto"/>
      </w:divBdr>
    </w:div>
    <w:div w:id="1803887412">
      <w:bodyDiv w:val="1"/>
      <w:marLeft w:val="0"/>
      <w:marRight w:val="0"/>
      <w:marTop w:val="0"/>
      <w:marBottom w:val="0"/>
      <w:divBdr>
        <w:top w:val="none" w:sz="0" w:space="0" w:color="auto"/>
        <w:left w:val="none" w:sz="0" w:space="0" w:color="auto"/>
        <w:bottom w:val="none" w:sz="0" w:space="0" w:color="auto"/>
        <w:right w:val="none" w:sz="0" w:space="0" w:color="auto"/>
      </w:divBdr>
    </w:div>
    <w:div w:id="1807771706">
      <w:bodyDiv w:val="1"/>
      <w:marLeft w:val="0"/>
      <w:marRight w:val="0"/>
      <w:marTop w:val="0"/>
      <w:marBottom w:val="0"/>
      <w:divBdr>
        <w:top w:val="none" w:sz="0" w:space="0" w:color="auto"/>
        <w:left w:val="none" w:sz="0" w:space="0" w:color="auto"/>
        <w:bottom w:val="none" w:sz="0" w:space="0" w:color="auto"/>
        <w:right w:val="none" w:sz="0" w:space="0" w:color="auto"/>
      </w:divBdr>
    </w:div>
    <w:div w:id="1808820119">
      <w:bodyDiv w:val="1"/>
      <w:marLeft w:val="0"/>
      <w:marRight w:val="0"/>
      <w:marTop w:val="0"/>
      <w:marBottom w:val="0"/>
      <w:divBdr>
        <w:top w:val="none" w:sz="0" w:space="0" w:color="auto"/>
        <w:left w:val="none" w:sz="0" w:space="0" w:color="auto"/>
        <w:bottom w:val="none" w:sz="0" w:space="0" w:color="auto"/>
        <w:right w:val="none" w:sz="0" w:space="0" w:color="auto"/>
      </w:divBdr>
    </w:div>
    <w:div w:id="1852909442">
      <w:bodyDiv w:val="1"/>
      <w:marLeft w:val="0"/>
      <w:marRight w:val="0"/>
      <w:marTop w:val="0"/>
      <w:marBottom w:val="0"/>
      <w:divBdr>
        <w:top w:val="none" w:sz="0" w:space="0" w:color="auto"/>
        <w:left w:val="none" w:sz="0" w:space="0" w:color="auto"/>
        <w:bottom w:val="none" w:sz="0" w:space="0" w:color="auto"/>
        <w:right w:val="none" w:sz="0" w:space="0" w:color="auto"/>
      </w:divBdr>
    </w:div>
    <w:div w:id="1882203101">
      <w:bodyDiv w:val="1"/>
      <w:marLeft w:val="0"/>
      <w:marRight w:val="0"/>
      <w:marTop w:val="0"/>
      <w:marBottom w:val="0"/>
      <w:divBdr>
        <w:top w:val="none" w:sz="0" w:space="0" w:color="auto"/>
        <w:left w:val="none" w:sz="0" w:space="0" w:color="auto"/>
        <w:bottom w:val="none" w:sz="0" w:space="0" w:color="auto"/>
        <w:right w:val="none" w:sz="0" w:space="0" w:color="auto"/>
      </w:divBdr>
    </w:div>
    <w:div w:id="1888451840">
      <w:bodyDiv w:val="1"/>
      <w:marLeft w:val="0"/>
      <w:marRight w:val="0"/>
      <w:marTop w:val="0"/>
      <w:marBottom w:val="0"/>
      <w:divBdr>
        <w:top w:val="none" w:sz="0" w:space="0" w:color="auto"/>
        <w:left w:val="none" w:sz="0" w:space="0" w:color="auto"/>
        <w:bottom w:val="none" w:sz="0" w:space="0" w:color="auto"/>
        <w:right w:val="none" w:sz="0" w:space="0" w:color="auto"/>
      </w:divBdr>
    </w:div>
    <w:div w:id="1898012195">
      <w:bodyDiv w:val="1"/>
      <w:marLeft w:val="0"/>
      <w:marRight w:val="0"/>
      <w:marTop w:val="0"/>
      <w:marBottom w:val="0"/>
      <w:divBdr>
        <w:top w:val="none" w:sz="0" w:space="0" w:color="auto"/>
        <w:left w:val="none" w:sz="0" w:space="0" w:color="auto"/>
        <w:bottom w:val="none" w:sz="0" w:space="0" w:color="auto"/>
        <w:right w:val="none" w:sz="0" w:space="0" w:color="auto"/>
      </w:divBdr>
    </w:div>
    <w:div w:id="1903640527">
      <w:bodyDiv w:val="1"/>
      <w:marLeft w:val="0"/>
      <w:marRight w:val="0"/>
      <w:marTop w:val="0"/>
      <w:marBottom w:val="0"/>
      <w:divBdr>
        <w:top w:val="none" w:sz="0" w:space="0" w:color="auto"/>
        <w:left w:val="none" w:sz="0" w:space="0" w:color="auto"/>
        <w:bottom w:val="none" w:sz="0" w:space="0" w:color="auto"/>
        <w:right w:val="none" w:sz="0" w:space="0" w:color="auto"/>
      </w:divBdr>
    </w:div>
    <w:div w:id="1904441717">
      <w:bodyDiv w:val="1"/>
      <w:marLeft w:val="0"/>
      <w:marRight w:val="0"/>
      <w:marTop w:val="0"/>
      <w:marBottom w:val="0"/>
      <w:divBdr>
        <w:top w:val="none" w:sz="0" w:space="0" w:color="auto"/>
        <w:left w:val="none" w:sz="0" w:space="0" w:color="auto"/>
        <w:bottom w:val="none" w:sz="0" w:space="0" w:color="auto"/>
        <w:right w:val="none" w:sz="0" w:space="0" w:color="auto"/>
      </w:divBdr>
    </w:div>
    <w:div w:id="1916165596">
      <w:bodyDiv w:val="1"/>
      <w:marLeft w:val="0"/>
      <w:marRight w:val="0"/>
      <w:marTop w:val="0"/>
      <w:marBottom w:val="0"/>
      <w:divBdr>
        <w:top w:val="none" w:sz="0" w:space="0" w:color="auto"/>
        <w:left w:val="none" w:sz="0" w:space="0" w:color="auto"/>
        <w:bottom w:val="none" w:sz="0" w:space="0" w:color="auto"/>
        <w:right w:val="none" w:sz="0" w:space="0" w:color="auto"/>
      </w:divBdr>
    </w:div>
    <w:div w:id="1930649569">
      <w:bodyDiv w:val="1"/>
      <w:marLeft w:val="0"/>
      <w:marRight w:val="0"/>
      <w:marTop w:val="0"/>
      <w:marBottom w:val="0"/>
      <w:divBdr>
        <w:top w:val="none" w:sz="0" w:space="0" w:color="auto"/>
        <w:left w:val="none" w:sz="0" w:space="0" w:color="auto"/>
        <w:bottom w:val="none" w:sz="0" w:space="0" w:color="auto"/>
        <w:right w:val="none" w:sz="0" w:space="0" w:color="auto"/>
      </w:divBdr>
    </w:div>
    <w:div w:id="1939019734">
      <w:bodyDiv w:val="1"/>
      <w:marLeft w:val="0"/>
      <w:marRight w:val="0"/>
      <w:marTop w:val="0"/>
      <w:marBottom w:val="0"/>
      <w:divBdr>
        <w:top w:val="none" w:sz="0" w:space="0" w:color="auto"/>
        <w:left w:val="none" w:sz="0" w:space="0" w:color="auto"/>
        <w:bottom w:val="none" w:sz="0" w:space="0" w:color="auto"/>
        <w:right w:val="none" w:sz="0" w:space="0" w:color="auto"/>
      </w:divBdr>
    </w:div>
    <w:div w:id="1940792370">
      <w:bodyDiv w:val="1"/>
      <w:marLeft w:val="0"/>
      <w:marRight w:val="0"/>
      <w:marTop w:val="0"/>
      <w:marBottom w:val="0"/>
      <w:divBdr>
        <w:top w:val="none" w:sz="0" w:space="0" w:color="auto"/>
        <w:left w:val="none" w:sz="0" w:space="0" w:color="auto"/>
        <w:bottom w:val="none" w:sz="0" w:space="0" w:color="auto"/>
        <w:right w:val="none" w:sz="0" w:space="0" w:color="auto"/>
      </w:divBdr>
    </w:div>
    <w:div w:id="1947350577">
      <w:bodyDiv w:val="1"/>
      <w:marLeft w:val="0"/>
      <w:marRight w:val="0"/>
      <w:marTop w:val="0"/>
      <w:marBottom w:val="0"/>
      <w:divBdr>
        <w:top w:val="none" w:sz="0" w:space="0" w:color="auto"/>
        <w:left w:val="none" w:sz="0" w:space="0" w:color="auto"/>
        <w:bottom w:val="none" w:sz="0" w:space="0" w:color="auto"/>
        <w:right w:val="none" w:sz="0" w:space="0" w:color="auto"/>
      </w:divBdr>
    </w:div>
    <w:div w:id="1947735915">
      <w:bodyDiv w:val="1"/>
      <w:marLeft w:val="0"/>
      <w:marRight w:val="0"/>
      <w:marTop w:val="0"/>
      <w:marBottom w:val="0"/>
      <w:divBdr>
        <w:top w:val="none" w:sz="0" w:space="0" w:color="auto"/>
        <w:left w:val="none" w:sz="0" w:space="0" w:color="auto"/>
        <w:bottom w:val="none" w:sz="0" w:space="0" w:color="auto"/>
        <w:right w:val="none" w:sz="0" w:space="0" w:color="auto"/>
      </w:divBdr>
    </w:div>
    <w:div w:id="1962296019">
      <w:bodyDiv w:val="1"/>
      <w:marLeft w:val="0"/>
      <w:marRight w:val="0"/>
      <w:marTop w:val="0"/>
      <w:marBottom w:val="0"/>
      <w:divBdr>
        <w:top w:val="none" w:sz="0" w:space="0" w:color="auto"/>
        <w:left w:val="none" w:sz="0" w:space="0" w:color="auto"/>
        <w:bottom w:val="none" w:sz="0" w:space="0" w:color="auto"/>
        <w:right w:val="none" w:sz="0" w:space="0" w:color="auto"/>
      </w:divBdr>
    </w:div>
    <w:div w:id="2022078744">
      <w:bodyDiv w:val="1"/>
      <w:marLeft w:val="0"/>
      <w:marRight w:val="0"/>
      <w:marTop w:val="0"/>
      <w:marBottom w:val="0"/>
      <w:divBdr>
        <w:top w:val="none" w:sz="0" w:space="0" w:color="auto"/>
        <w:left w:val="none" w:sz="0" w:space="0" w:color="auto"/>
        <w:bottom w:val="none" w:sz="0" w:space="0" w:color="auto"/>
        <w:right w:val="none" w:sz="0" w:space="0" w:color="auto"/>
      </w:divBdr>
    </w:div>
    <w:div w:id="2035302430">
      <w:bodyDiv w:val="1"/>
      <w:marLeft w:val="0"/>
      <w:marRight w:val="0"/>
      <w:marTop w:val="0"/>
      <w:marBottom w:val="0"/>
      <w:divBdr>
        <w:top w:val="none" w:sz="0" w:space="0" w:color="auto"/>
        <w:left w:val="none" w:sz="0" w:space="0" w:color="auto"/>
        <w:bottom w:val="none" w:sz="0" w:space="0" w:color="auto"/>
        <w:right w:val="none" w:sz="0" w:space="0" w:color="auto"/>
      </w:divBdr>
    </w:div>
    <w:div w:id="2039117527">
      <w:bodyDiv w:val="1"/>
      <w:marLeft w:val="0"/>
      <w:marRight w:val="0"/>
      <w:marTop w:val="0"/>
      <w:marBottom w:val="0"/>
      <w:divBdr>
        <w:top w:val="none" w:sz="0" w:space="0" w:color="auto"/>
        <w:left w:val="none" w:sz="0" w:space="0" w:color="auto"/>
        <w:bottom w:val="none" w:sz="0" w:space="0" w:color="auto"/>
        <w:right w:val="none" w:sz="0" w:space="0" w:color="auto"/>
      </w:divBdr>
    </w:div>
    <w:div w:id="2054574883">
      <w:bodyDiv w:val="1"/>
      <w:marLeft w:val="0"/>
      <w:marRight w:val="0"/>
      <w:marTop w:val="0"/>
      <w:marBottom w:val="0"/>
      <w:divBdr>
        <w:top w:val="none" w:sz="0" w:space="0" w:color="auto"/>
        <w:left w:val="none" w:sz="0" w:space="0" w:color="auto"/>
        <w:bottom w:val="none" w:sz="0" w:space="0" w:color="auto"/>
        <w:right w:val="none" w:sz="0" w:space="0" w:color="auto"/>
      </w:divBdr>
    </w:div>
    <w:div w:id="2060980401">
      <w:bodyDiv w:val="1"/>
      <w:marLeft w:val="0"/>
      <w:marRight w:val="0"/>
      <w:marTop w:val="0"/>
      <w:marBottom w:val="0"/>
      <w:divBdr>
        <w:top w:val="none" w:sz="0" w:space="0" w:color="auto"/>
        <w:left w:val="none" w:sz="0" w:space="0" w:color="auto"/>
        <w:bottom w:val="none" w:sz="0" w:space="0" w:color="auto"/>
        <w:right w:val="none" w:sz="0" w:space="0" w:color="auto"/>
      </w:divBdr>
    </w:div>
    <w:div w:id="2067948479">
      <w:bodyDiv w:val="1"/>
      <w:marLeft w:val="0"/>
      <w:marRight w:val="0"/>
      <w:marTop w:val="0"/>
      <w:marBottom w:val="0"/>
      <w:divBdr>
        <w:top w:val="none" w:sz="0" w:space="0" w:color="auto"/>
        <w:left w:val="none" w:sz="0" w:space="0" w:color="auto"/>
        <w:bottom w:val="none" w:sz="0" w:space="0" w:color="auto"/>
        <w:right w:val="none" w:sz="0" w:space="0" w:color="auto"/>
      </w:divBdr>
    </w:div>
    <w:div w:id="2075469493">
      <w:bodyDiv w:val="1"/>
      <w:marLeft w:val="0"/>
      <w:marRight w:val="0"/>
      <w:marTop w:val="0"/>
      <w:marBottom w:val="0"/>
      <w:divBdr>
        <w:top w:val="none" w:sz="0" w:space="0" w:color="auto"/>
        <w:left w:val="none" w:sz="0" w:space="0" w:color="auto"/>
        <w:bottom w:val="none" w:sz="0" w:space="0" w:color="auto"/>
        <w:right w:val="none" w:sz="0" w:space="0" w:color="auto"/>
      </w:divBdr>
    </w:div>
    <w:div w:id="2088771801">
      <w:bodyDiv w:val="1"/>
      <w:marLeft w:val="0"/>
      <w:marRight w:val="0"/>
      <w:marTop w:val="0"/>
      <w:marBottom w:val="0"/>
      <w:divBdr>
        <w:top w:val="none" w:sz="0" w:space="0" w:color="auto"/>
        <w:left w:val="none" w:sz="0" w:space="0" w:color="auto"/>
        <w:bottom w:val="none" w:sz="0" w:space="0" w:color="auto"/>
        <w:right w:val="none" w:sz="0" w:space="0" w:color="auto"/>
      </w:divBdr>
    </w:div>
    <w:div w:id="2089226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5.xml"/><Relationship Id="rId21" Type="http://schemas.openxmlformats.org/officeDocument/2006/relationships/diagramLayout" Target="diagrams/layout4.xml"/><Relationship Id="rId42" Type="http://schemas.openxmlformats.org/officeDocument/2006/relationships/hyperlink" Target="https://doi.org/10.1377/hlthaff.2010.0007" TargetMode="External"/><Relationship Id="rId47" Type="http://schemas.openxmlformats.org/officeDocument/2006/relationships/hyperlink" Target="https://doi.org/10.1197/jamia.M1741" TargetMode="External"/><Relationship Id="rId63" Type="http://schemas.openxmlformats.org/officeDocument/2006/relationships/hyperlink" Target="https://doi.org/10.1093/intqhc/mzy104" TargetMode="External"/><Relationship Id="rId68" Type="http://schemas.openxmlformats.org/officeDocument/2006/relationships/hyperlink" Target="http://dx.doi.org/10.1186/1865-1380-4-2" TargetMode="External"/><Relationship Id="rId2" Type="http://schemas.openxmlformats.org/officeDocument/2006/relationships/styles" Target="styles.xml"/><Relationship Id="rId16" Type="http://schemas.openxmlformats.org/officeDocument/2006/relationships/diagramLayout" Target="diagrams/layout3.xml"/><Relationship Id="rId29" Type="http://schemas.openxmlformats.org/officeDocument/2006/relationships/diagramColors" Target="diagrams/colors5.xml"/><Relationship Id="rId11" Type="http://schemas.openxmlformats.org/officeDocument/2006/relationships/diagramLayout" Target="diagrams/layout2.xml"/><Relationship Id="rId24" Type="http://schemas.microsoft.com/office/2007/relationships/diagramDrawing" Target="diagrams/drawing4.xml"/><Relationship Id="rId32" Type="http://schemas.openxmlformats.org/officeDocument/2006/relationships/image" Target="media/image3.png"/><Relationship Id="rId37" Type="http://schemas.openxmlformats.org/officeDocument/2006/relationships/hyperlink" Target="https://doi.org/10.1186/s40537-017-0110-7" TargetMode="External"/><Relationship Id="rId40" Type="http://schemas.openxmlformats.org/officeDocument/2006/relationships/hyperlink" Target="https://doi.org/10.2147%2FPPA.S286237" TargetMode="External"/><Relationship Id="rId45" Type="http://schemas.openxmlformats.org/officeDocument/2006/relationships/hyperlink" Target="https://doi.org/10.3390/ijerph15091972" TargetMode="External"/><Relationship Id="rId53" Type="http://schemas.openxmlformats.org/officeDocument/2006/relationships/hyperlink" Target="https://doi.org/10.1016/j.outlook.2016.02.006" TargetMode="External"/><Relationship Id="rId58" Type="http://schemas.openxmlformats.org/officeDocument/2006/relationships/hyperlink" Target="https://doi.org/10.1016/j.ienj.2015.11.002" TargetMode="External"/><Relationship Id="rId66" Type="http://schemas.openxmlformats.org/officeDocument/2006/relationships/hyperlink" Target="http://dx.doi.org/10.1080/01947648.2013.768134" TargetMode="External"/><Relationship Id="rId5" Type="http://schemas.openxmlformats.org/officeDocument/2006/relationships/diagramData" Target="diagrams/data1.xml"/><Relationship Id="rId61" Type="http://schemas.openxmlformats.org/officeDocument/2006/relationships/hyperlink" Target="https://doi.org/10.3122/jabfm.2008.05.070287" TargetMode="External"/><Relationship Id="rId19" Type="http://schemas.microsoft.com/office/2007/relationships/diagramDrawing" Target="diagrams/drawing3.xml"/><Relationship Id="rId14" Type="http://schemas.microsoft.com/office/2007/relationships/diagramDrawing" Target="diagrams/drawing2.xml"/><Relationship Id="rId22" Type="http://schemas.openxmlformats.org/officeDocument/2006/relationships/diagramQuickStyle" Target="diagrams/quickStyle4.xml"/><Relationship Id="rId27" Type="http://schemas.openxmlformats.org/officeDocument/2006/relationships/diagramLayout" Target="diagrams/layout5.xml"/><Relationship Id="rId30" Type="http://schemas.microsoft.com/office/2007/relationships/diagramDrawing" Target="diagrams/drawing5.xml"/><Relationship Id="rId35" Type="http://schemas.openxmlformats.org/officeDocument/2006/relationships/hyperlink" Target="https://www.healthit.gov/resource/health-it-patient-satisfaction-survey" TargetMode="External"/><Relationship Id="rId43" Type="http://schemas.openxmlformats.org/officeDocument/2006/relationships/hyperlink" Target="https://doi.org/10.1016/j.colegn.2017.02.005" TargetMode="External"/><Relationship Id="rId48" Type="http://schemas.openxmlformats.org/officeDocument/2006/relationships/hyperlink" Target="https://doi.org/10.1080/10410236.2018.1517634" TargetMode="External"/><Relationship Id="rId56" Type="http://schemas.openxmlformats.org/officeDocument/2006/relationships/hyperlink" Target="https://doi.org/10.1007/s41669-019-0126-3" TargetMode="External"/><Relationship Id="rId64" Type="http://schemas.openxmlformats.org/officeDocument/2006/relationships/hyperlink" Target="https://doi.org/10.1016/j.colegn.2017.02.002" TargetMode="External"/><Relationship Id="rId69" Type="http://schemas.openxmlformats.org/officeDocument/2006/relationships/hyperlink" Target="https://www.healthit.gov/resource/health-it-patient-satisfaction-survey" TargetMode="External"/><Relationship Id="rId8" Type="http://schemas.openxmlformats.org/officeDocument/2006/relationships/diagramColors" Target="diagrams/colors1.xml"/><Relationship Id="rId51" Type="http://schemas.openxmlformats.org/officeDocument/2006/relationships/hyperlink" Target="https://doi.org/10.2471/BLT.18.225201"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image" Target="media/image1.png"/><Relationship Id="rId33" Type="http://schemas.openxmlformats.org/officeDocument/2006/relationships/image" Target="media/image4.jpeg"/><Relationship Id="rId38" Type="http://schemas.openxmlformats.org/officeDocument/2006/relationships/hyperlink" Target="http://dx.doi.org/10.1136/bmjopen-2015-008988" TargetMode="External"/><Relationship Id="rId46" Type="http://schemas.openxmlformats.org/officeDocument/2006/relationships/hyperlink" Target="http://dx.doi.org/10.1453/ter.v3i1.622" TargetMode="External"/><Relationship Id="rId59" Type="http://schemas.openxmlformats.org/officeDocument/2006/relationships/hyperlink" Target="http://dx.doi.org/10.1093/intqhc/mzs039" TargetMode="External"/><Relationship Id="rId67" Type="http://schemas.openxmlformats.org/officeDocument/2006/relationships/hyperlink" Target="http://dx.doi.org/10.1136/bmjopen-2012-000864" TargetMode="External"/><Relationship Id="rId20" Type="http://schemas.openxmlformats.org/officeDocument/2006/relationships/diagramData" Target="diagrams/data4.xml"/><Relationship Id="rId41" Type="http://schemas.openxmlformats.org/officeDocument/2006/relationships/hyperlink" Target="https://doi.org/10.1016/j.imu.2020.100499" TargetMode="External"/><Relationship Id="rId54" Type="http://schemas.openxmlformats.org/officeDocument/2006/relationships/hyperlink" Target="https://doi.org/10.2196/mhealth.9145" TargetMode="External"/><Relationship Id="rId62" Type="http://schemas.openxmlformats.org/officeDocument/2006/relationships/hyperlink" Target="https://doi.org/10.1016/j.ijmedinf.2012.12.008" TargetMode="External"/><Relationship Id="rId70" Type="http://schemas.openxmlformats.org/officeDocument/2006/relationships/hyperlink" Target="https://doi.org/10.1080/17538157.2019.1582055" TargetMode="External"/><Relationship Id="rId1" Type="http://schemas.openxmlformats.org/officeDocument/2006/relationships/numbering" Target="numbering.xml"/><Relationship Id="rId6" Type="http://schemas.openxmlformats.org/officeDocument/2006/relationships/diagramLayout" Target="diagrams/layout1.xml"/><Relationship Id="rId15" Type="http://schemas.openxmlformats.org/officeDocument/2006/relationships/diagramData" Target="diagrams/data3.xml"/><Relationship Id="rId23" Type="http://schemas.openxmlformats.org/officeDocument/2006/relationships/diagramColors" Target="diagrams/colors4.xml"/><Relationship Id="rId28" Type="http://schemas.openxmlformats.org/officeDocument/2006/relationships/diagramQuickStyle" Target="diagrams/quickStyle5.xml"/><Relationship Id="rId36" Type="http://schemas.openxmlformats.org/officeDocument/2006/relationships/hyperlink" Target="https://doi.org/10.1093/intqhc/mzw133" TargetMode="External"/><Relationship Id="rId49" Type="http://schemas.openxmlformats.org/officeDocument/2006/relationships/hyperlink" Target="https://doi.org/10.1080/14783363.2015.1057488" TargetMode="External"/><Relationship Id="rId57" Type="http://schemas.openxmlformats.org/officeDocument/2006/relationships/hyperlink" Target="https://doi.org/10.1111/jphs.12264" TargetMode="External"/><Relationship Id="rId10" Type="http://schemas.openxmlformats.org/officeDocument/2006/relationships/diagramData" Target="diagrams/data2.xml"/><Relationship Id="rId31" Type="http://schemas.openxmlformats.org/officeDocument/2006/relationships/image" Target="media/image2.png"/><Relationship Id="rId44" Type="http://schemas.openxmlformats.org/officeDocument/2006/relationships/hyperlink" Target="https://doi.org/10.1179/1753807614Y.0000000067" TargetMode="External"/><Relationship Id="rId52" Type="http://schemas.openxmlformats.org/officeDocument/2006/relationships/hyperlink" Target="https://doi.org/10.1002/jhm.861" TargetMode="External"/><Relationship Id="rId60" Type="http://schemas.openxmlformats.org/officeDocument/2006/relationships/hyperlink" Target="https://doi.org/10.1016/j.artmed.2012.08.001" TargetMode="External"/><Relationship Id="rId65" Type="http://schemas.openxmlformats.org/officeDocument/2006/relationships/hyperlink" Target="https://doi.org/10.23970/ahrqepcerta132" TargetMode="External"/><Relationship Id="rId73"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3" Type="http://schemas.openxmlformats.org/officeDocument/2006/relationships/diagramColors" Target="diagrams/colors2.xml"/><Relationship Id="rId18" Type="http://schemas.openxmlformats.org/officeDocument/2006/relationships/diagramColors" Target="diagrams/colors3.xml"/><Relationship Id="rId39" Type="http://schemas.openxmlformats.org/officeDocument/2006/relationships/hyperlink" Target="https://doi.org/10.1055/s-0039-1695006" TargetMode="External"/><Relationship Id="rId34" Type="http://schemas.openxmlformats.org/officeDocument/2006/relationships/hyperlink" Target="https://www.openepi.com/SampleSize/SSPropor.htm" TargetMode="External"/><Relationship Id="rId50" Type="http://schemas.openxmlformats.org/officeDocument/2006/relationships/hyperlink" Target="https://doi.org/10.1186/s12913-018-3818-y" TargetMode="External"/><Relationship Id="rId55" Type="http://schemas.openxmlformats.org/officeDocument/2006/relationships/hyperlink" Target="https://doi.org/10.1197/jamia.M2888" TargetMode="External"/><Relationship Id="rId7" Type="http://schemas.openxmlformats.org/officeDocument/2006/relationships/diagramQuickStyle" Target="diagrams/quickStyle1.xml"/><Relationship Id="rId71" Type="http://schemas.openxmlformats.org/officeDocument/2006/relationships/hyperlink" Target="https://www.ahrq" TargetMode="Externa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DDA6DB-E832-4C21-820F-F59083BE47B8}" type="doc">
      <dgm:prSet loTypeId="urn:microsoft.com/office/officeart/2005/8/layout/radial1" loCatId="relationship" qsTypeId="urn:microsoft.com/office/officeart/2005/8/quickstyle/simple1" qsCatId="simple" csTypeId="urn:microsoft.com/office/officeart/2005/8/colors/accent2_1" csCatId="accent2" phldr="1"/>
      <dgm:spPr/>
      <dgm:t>
        <a:bodyPr/>
        <a:lstStyle/>
        <a:p>
          <a:endParaRPr lang="en-US"/>
        </a:p>
      </dgm:t>
    </dgm:pt>
    <dgm:pt modelId="{21B0664D-F163-48D9-B808-E752BE6B6D6B}">
      <dgm:prSet phldrT="[Text]" custT="1"/>
      <dgm:spPr/>
      <dgm:t>
        <a:bodyPr/>
        <a:lstStyle/>
        <a:p>
          <a:r>
            <a:rPr lang="en-US" sz="1050"/>
            <a:t>Patient-Centered Care</a:t>
          </a:r>
        </a:p>
      </dgm:t>
    </dgm:pt>
    <dgm:pt modelId="{3E5E5A10-19C4-47D5-9863-1BB10B8F085E}" type="parTrans" cxnId="{86B82CB7-8D19-49B8-BD84-61468D5C72FA}">
      <dgm:prSet/>
      <dgm:spPr/>
      <dgm:t>
        <a:bodyPr/>
        <a:lstStyle/>
        <a:p>
          <a:endParaRPr lang="en-US" sz="2000"/>
        </a:p>
      </dgm:t>
    </dgm:pt>
    <dgm:pt modelId="{3965A288-9300-475A-ADB5-799DEB4E8BA9}" type="sibTrans" cxnId="{86B82CB7-8D19-49B8-BD84-61468D5C72FA}">
      <dgm:prSet/>
      <dgm:spPr/>
      <dgm:t>
        <a:bodyPr/>
        <a:lstStyle/>
        <a:p>
          <a:endParaRPr lang="en-US" sz="2000"/>
        </a:p>
      </dgm:t>
    </dgm:pt>
    <dgm:pt modelId="{C885487B-80AC-4525-9202-DEF6BB151B5F}">
      <dgm:prSet phldrT="[Text]" custT="1"/>
      <dgm:spPr/>
      <dgm:t>
        <a:bodyPr/>
        <a:lstStyle/>
        <a:p>
          <a:r>
            <a:rPr lang="en-US" sz="800"/>
            <a:t>Coordination and integration</a:t>
          </a:r>
        </a:p>
      </dgm:t>
    </dgm:pt>
    <dgm:pt modelId="{B441A53C-C4BC-4166-AD73-43B7419B0776}" type="parTrans" cxnId="{6FD09A08-E239-4200-B74F-4FFABC03D6CD}">
      <dgm:prSet custT="1"/>
      <dgm:spPr/>
      <dgm:t>
        <a:bodyPr/>
        <a:lstStyle/>
        <a:p>
          <a:endParaRPr lang="en-US" sz="600"/>
        </a:p>
      </dgm:t>
    </dgm:pt>
    <dgm:pt modelId="{F26D8627-294F-462C-86CC-0062F066E505}" type="sibTrans" cxnId="{6FD09A08-E239-4200-B74F-4FFABC03D6CD}">
      <dgm:prSet/>
      <dgm:spPr/>
      <dgm:t>
        <a:bodyPr/>
        <a:lstStyle/>
        <a:p>
          <a:endParaRPr lang="en-US" sz="2000"/>
        </a:p>
      </dgm:t>
    </dgm:pt>
    <dgm:pt modelId="{8FC62E14-9D6B-45D2-80CA-3322A8CDE1A5}">
      <dgm:prSet phldrT="[Text]" custT="1"/>
      <dgm:spPr/>
      <dgm:t>
        <a:bodyPr/>
        <a:lstStyle/>
        <a:p>
          <a:r>
            <a:rPr lang="en-US" sz="800"/>
            <a:t>Involvement of family and friends</a:t>
          </a:r>
        </a:p>
      </dgm:t>
    </dgm:pt>
    <dgm:pt modelId="{58E22936-6CFD-4426-8410-8D2B661A9623}" type="parTrans" cxnId="{CAE419CD-79B6-4615-8265-105A3532DE08}">
      <dgm:prSet custT="1"/>
      <dgm:spPr/>
      <dgm:t>
        <a:bodyPr/>
        <a:lstStyle/>
        <a:p>
          <a:endParaRPr lang="en-US" sz="600"/>
        </a:p>
      </dgm:t>
    </dgm:pt>
    <dgm:pt modelId="{695619AC-2893-4EFF-8F3C-D3A5BABF7739}" type="sibTrans" cxnId="{CAE419CD-79B6-4615-8265-105A3532DE08}">
      <dgm:prSet/>
      <dgm:spPr/>
      <dgm:t>
        <a:bodyPr/>
        <a:lstStyle/>
        <a:p>
          <a:endParaRPr lang="en-US" sz="2000"/>
        </a:p>
      </dgm:t>
    </dgm:pt>
    <dgm:pt modelId="{DD0B323B-A674-4125-B341-D1B11BA7FC5C}">
      <dgm:prSet phldrT="[Text]" custT="1"/>
      <dgm:spPr/>
      <dgm:t>
        <a:bodyPr/>
        <a:lstStyle/>
        <a:p>
          <a:r>
            <a:rPr lang="en-US" sz="800"/>
            <a:t>Emotional support</a:t>
          </a:r>
        </a:p>
      </dgm:t>
    </dgm:pt>
    <dgm:pt modelId="{20B69F43-FB00-4926-A36A-E5DCB2C1B2CB}" type="parTrans" cxnId="{F6F443CE-ABB0-48CF-AFCA-A4774111BE4F}">
      <dgm:prSet custT="1"/>
      <dgm:spPr/>
      <dgm:t>
        <a:bodyPr/>
        <a:lstStyle/>
        <a:p>
          <a:endParaRPr lang="en-US" sz="600"/>
        </a:p>
      </dgm:t>
    </dgm:pt>
    <dgm:pt modelId="{8200721F-BBB3-4BAE-8190-37FFBB47CE81}" type="sibTrans" cxnId="{F6F443CE-ABB0-48CF-AFCA-A4774111BE4F}">
      <dgm:prSet/>
      <dgm:spPr/>
      <dgm:t>
        <a:bodyPr/>
        <a:lstStyle/>
        <a:p>
          <a:endParaRPr lang="en-US" sz="2000"/>
        </a:p>
      </dgm:t>
    </dgm:pt>
    <dgm:pt modelId="{1FDFFB60-A97F-49B0-A730-111012451397}">
      <dgm:prSet phldrT="[Text]" custT="1"/>
      <dgm:spPr/>
      <dgm:t>
        <a:bodyPr/>
        <a:lstStyle/>
        <a:p>
          <a:r>
            <a:rPr lang="en-US" sz="800"/>
            <a:t>Physical comfort</a:t>
          </a:r>
        </a:p>
      </dgm:t>
    </dgm:pt>
    <dgm:pt modelId="{5F92B149-1880-4EC0-9E7B-B88E46C612B0}" type="parTrans" cxnId="{2D233A0E-5BCE-47FA-990B-EA6F3015C724}">
      <dgm:prSet custT="1"/>
      <dgm:spPr/>
      <dgm:t>
        <a:bodyPr/>
        <a:lstStyle/>
        <a:p>
          <a:endParaRPr lang="en-US" sz="600"/>
        </a:p>
      </dgm:t>
    </dgm:pt>
    <dgm:pt modelId="{181B4F46-A1D4-47F7-BD6E-4DC882B24E67}" type="sibTrans" cxnId="{2D233A0E-5BCE-47FA-990B-EA6F3015C724}">
      <dgm:prSet/>
      <dgm:spPr/>
      <dgm:t>
        <a:bodyPr/>
        <a:lstStyle/>
        <a:p>
          <a:endParaRPr lang="en-US" sz="2000"/>
        </a:p>
      </dgm:t>
    </dgm:pt>
    <dgm:pt modelId="{218B72C8-B3D2-4924-8A6B-2BC84979FC86}">
      <dgm:prSet custT="1"/>
      <dgm:spPr/>
      <dgm:t>
        <a:bodyPr/>
        <a:lstStyle/>
        <a:p>
          <a:r>
            <a:rPr lang="en-US" sz="800"/>
            <a:t>Information and education</a:t>
          </a:r>
        </a:p>
      </dgm:t>
    </dgm:pt>
    <dgm:pt modelId="{C67CF8E3-ED7E-4C0D-8BD0-428A0F520446}" type="parTrans" cxnId="{8C577AA5-C1F0-424A-B033-6A4C6E0F8E67}">
      <dgm:prSet custT="1"/>
      <dgm:spPr/>
      <dgm:t>
        <a:bodyPr/>
        <a:lstStyle/>
        <a:p>
          <a:endParaRPr lang="en-US" sz="600"/>
        </a:p>
      </dgm:t>
    </dgm:pt>
    <dgm:pt modelId="{AC495665-7FC3-487D-A150-E973E27A2F16}" type="sibTrans" cxnId="{8C577AA5-C1F0-424A-B033-6A4C6E0F8E67}">
      <dgm:prSet/>
      <dgm:spPr/>
      <dgm:t>
        <a:bodyPr/>
        <a:lstStyle/>
        <a:p>
          <a:endParaRPr lang="en-US" sz="2000"/>
        </a:p>
      </dgm:t>
    </dgm:pt>
    <dgm:pt modelId="{027B5FE8-AD9C-438C-BA9A-C86346F52510}">
      <dgm:prSet custT="1"/>
      <dgm:spPr/>
      <dgm:t>
        <a:bodyPr/>
        <a:lstStyle/>
        <a:p>
          <a:r>
            <a:rPr lang="en-US" sz="800"/>
            <a:t>Respect for patients' preferences</a:t>
          </a:r>
        </a:p>
      </dgm:t>
    </dgm:pt>
    <dgm:pt modelId="{C6D1D4F5-0644-4F9B-8039-F2865C4400DD}" type="parTrans" cxnId="{69191922-07E1-4F72-B7B4-A13E03C945BA}">
      <dgm:prSet custT="1"/>
      <dgm:spPr/>
      <dgm:t>
        <a:bodyPr/>
        <a:lstStyle/>
        <a:p>
          <a:endParaRPr lang="en-US" sz="600"/>
        </a:p>
      </dgm:t>
    </dgm:pt>
    <dgm:pt modelId="{8DE646BC-32D8-4E1A-B3FD-B8D412664887}" type="sibTrans" cxnId="{69191922-07E1-4F72-B7B4-A13E03C945BA}">
      <dgm:prSet/>
      <dgm:spPr/>
      <dgm:t>
        <a:bodyPr/>
        <a:lstStyle/>
        <a:p>
          <a:endParaRPr lang="en-US" sz="2000"/>
        </a:p>
      </dgm:t>
    </dgm:pt>
    <dgm:pt modelId="{86F5CF26-256F-4FC8-8745-30A040445D51}">
      <dgm:prSet custT="1"/>
      <dgm:spPr/>
      <dgm:t>
        <a:bodyPr/>
        <a:lstStyle/>
        <a:p>
          <a:r>
            <a:rPr lang="en-US" sz="800"/>
            <a:t>Continuity and transition</a:t>
          </a:r>
        </a:p>
      </dgm:t>
    </dgm:pt>
    <dgm:pt modelId="{545D4AF1-7032-4A22-92FB-308AF4ED53A7}" type="parTrans" cxnId="{940EF87F-1EDB-49E1-9249-3B105732A205}">
      <dgm:prSet custT="1"/>
      <dgm:spPr/>
      <dgm:t>
        <a:bodyPr/>
        <a:lstStyle/>
        <a:p>
          <a:endParaRPr lang="en-US" sz="600"/>
        </a:p>
      </dgm:t>
    </dgm:pt>
    <dgm:pt modelId="{36B62BD3-F584-4FF4-B442-2F6A4BA23FE6}" type="sibTrans" cxnId="{940EF87F-1EDB-49E1-9249-3B105732A205}">
      <dgm:prSet/>
      <dgm:spPr/>
      <dgm:t>
        <a:bodyPr/>
        <a:lstStyle/>
        <a:p>
          <a:endParaRPr lang="en-US" sz="2000"/>
        </a:p>
      </dgm:t>
    </dgm:pt>
    <dgm:pt modelId="{E8EF015E-0243-400E-BB95-62714A452F9D}">
      <dgm:prSet custT="1"/>
      <dgm:spPr/>
      <dgm:t>
        <a:bodyPr/>
        <a:lstStyle/>
        <a:p>
          <a:r>
            <a:rPr lang="en-US" sz="800"/>
            <a:t>Acess to care</a:t>
          </a:r>
        </a:p>
      </dgm:t>
    </dgm:pt>
    <dgm:pt modelId="{62EFAC50-C34A-4C8A-833A-1D73C2111A73}" type="parTrans" cxnId="{C956EA80-B4E8-42C3-BB77-31E292BAE60E}">
      <dgm:prSet custT="1"/>
      <dgm:spPr/>
      <dgm:t>
        <a:bodyPr/>
        <a:lstStyle/>
        <a:p>
          <a:endParaRPr lang="en-US" sz="600"/>
        </a:p>
      </dgm:t>
    </dgm:pt>
    <dgm:pt modelId="{BB6798C9-5880-425D-9CBD-B4E07578EEA8}" type="sibTrans" cxnId="{C956EA80-B4E8-42C3-BB77-31E292BAE60E}">
      <dgm:prSet/>
      <dgm:spPr/>
      <dgm:t>
        <a:bodyPr/>
        <a:lstStyle/>
        <a:p>
          <a:endParaRPr lang="en-US" sz="2000"/>
        </a:p>
      </dgm:t>
    </dgm:pt>
    <dgm:pt modelId="{6097F4DC-274F-4DF3-AD70-53A77624B13F}" type="pres">
      <dgm:prSet presAssocID="{6BDDA6DB-E832-4C21-820F-F59083BE47B8}" presName="cycle" presStyleCnt="0">
        <dgm:presLayoutVars>
          <dgm:chMax val="1"/>
          <dgm:dir/>
          <dgm:animLvl val="ctr"/>
          <dgm:resizeHandles val="exact"/>
        </dgm:presLayoutVars>
      </dgm:prSet>
      <dgm:spPr/>
    </dgm:pt>
    <dgm:pt modelId="{F26860A5-0794-49A9-B2DD-ED941568DCC8}" type="pres">
      <dgm:prSet presAssocID="{21B0664D-F163-48D9-B808-E752BE6B6D6B}" presName="centerShape" presStyleLbl="node0" presStyleIdx="0" presStyleCnt="1"/>
      <dgm:spPr/>
    </dgm:pt>
    <dgm:pt modelId="{32CAAC8D-6837-4729-9F27-540EDF8E5587}" type="pres">
      <dgm:prSet presAssocID="{B441A53C-C4BC-4166-AD73-43B7419B0776}" presName="Name9" presStyleLbl="parChTrans1D2" presStyleIdx="0" presStyleCnt="8"/>
      <dgm:spPr/>
    </dgm:pt>
    <dgm:pt modelId="{65302D2B-1D58-4AC0-A89D-917650DA0D54}" type="pres">
      <dgm:prSet presAssocID="{B441A53C-C4BC-4166-AD73-43B7419B0776}" presName="connTx" presStyleLbl="parChTrans1D2" presStyleIdx="0" presStyleCnt="8"/>
      <dgm:spPr/>
    </dgm:pt>
    <dgm:pt modelId="{270FBD02-0233-49CD-A706-7E1C7EB1A1FB}" type="pres">
      <dgm:prSet presAssocID="{C885487B-80AC-4525-9202-DEF6BB151B5F}" presName="node" presStyleLbl="node1" presStyleIdx="0" presStyleCnt="8">
        <dgm:presLayoutVars>
          <dgm:bulletEnabled val="1"/>
        </dgm:presLayoutVars>
      </dgm:prSet>
      <dgm:spPr/>
    </dgm:pt>
    <dgm:pt modelId="{ADAECB3F-DFFB-4B66-BB8D-BFB694E75F9D}" type="pres">
      <dgm:prSet presAssocID="{58E22936-6CFD-4426-8410-8D2B661A9623}" presName="Name9" presStyleLbl="parChTrans1D2" presStyleIdx="1" presStyleCnt="8"/>
      <dgm:spPr/>
    </dgm:pt>
    <dgm:pt modelId="{251B03EF-E077-4399-AA15-0E910F517145}" type="pres">
      <dgm:prSet presAssocID="{58E22936-6CFD-4426-8410-8D2B661A9623}" presName="connTx" presStyleLbl="parChTrans1D2" presStyleIdx="1" presStyleCnt="8"/>
      <dgm:spPr/>
    </dgm:pt>
    <dgm:pt modelId="{A90BA6B4-6E16-4A6C-BC43-2E11082E16DF}" type="pres">
      <dgm:prSet presAssocID="{8FC62E14-9D6B-45D2-80CA-3322A8CDE1A5}" presName="node" presStyleLbl="node1" presStyleIdx="1" presStyleCnt="8">
        <dgm:presLayoutVars>
          <dgm:bulletEnabled val="1"/>
        </dgm:presLayoutVars>
      </dgm:prSet>
      <dgm:spPr/>
    </dgm:pt>
    <dgm:pt modelId="{59E55D1C-A142-4D5F-A21A-1977D1144287}" type="pres">
      <dgm:prSet presAssocID="{20B69F43-FB00-4926-A36A-E5DCB2C1B2CB}" presName="Name9" presStyleLbl="parChTrans1D2" presStyleIdx="2" presStyleCnt="8"/>
      <dgm:spPr/>
    </dgm:pt>
    <dgm:pt modelId="{0F49F675-FE6C-46D4-A367-1F7A134B1010}" type="pres">
      <dgm:prSet presAssocID="{20B69F43-FB00-4926-A36A-E5DCB2C1B2CB}" presName="connTx" presStyleLbl="parChTrans1D2" presStyleIdx="2" presStyleCnt="8"/>
      <dgm:spPr/>
    </dgm:pt>
    <dgm:pt modelId="{0D0F0E33-7915-4875-B86D-4D5E7AF25132}" type="pres">
      <dgm:prSet presAssocID="{DD0B323B-A674-4125-B341-D1B11BA7FC5C}" presName="node" presStyleLbl="node1" presStyleIdx="2" presStyleCnt="8">
        <dgm:presLayoutVars>
          <dgm:bulletEnabled val="1"/>
        </dgm:presLayoutVars>
      </dgm:prSet>
      <dgm:spPr/>
    </dgm:pt>
    <dgm:pt modelId="{F8670A7E-C943-41C0-948A-A5E524B63828}" type="pres">
      <dgm:prSet presAssocID="{5F92B149-1880-4EC0-9E7B-B88E46C612B0}" presName="Name9" presStyleLbl="parChTrans1D2" presStyleIdx="3" presStyleCnt="8"/>
      <dgm:spPr/>
    </dgm:pt>
    <dgm:pt modelId="{1FA17B47-6AA1-4CF1-B9B6-5A9AE99858E5}" type="pres">
      <dgm:prSet presAssocID="{5F92B149-1880-4EC0-9E7B-B88E46C612B0}" presName="connTx" presStyleLbl="parChTrans1D2" presStyleIdx="3" presStyleCnt="8"/>
      <dgm:spPr/>
    </dgm:pt>
    <dgm:pt modelId="{60315C5A-ABB1-4C79-8CA7-B6009D21921B}" type="pres">
      <dgm:prSet presAssocID="{1FDFFB60-A97F-49B0-A730-111012451397}" presName="node" presStyleLbl="node1" presStyleIdx="3" presStyleCnt="8">
        <dgm:presLayoutVars>
          <dgm:bulletEnabled val="1"/>
        </dgm:presLayoutVars>
      </dgm:prSet>
      <dgm:spPr/>
    </dgm:pt>
    <dgm:pt modelId="{20870594-144C-4C77-9329-A2148ACF4BD1}" type="pres">
      <dgm:prSet presAssocID="{C67CF8E3-ED7E-4C0D-8BD0-428A0F520446}" presName="Name9" presStyleLbl="parChTrans1D2" presStyleIdx="4" presStyleCnt="8"/>
      <dgm:spPr/>
    </dgm:pt>
    <dgm:pt modelId="{9A63E1A9-216C-4459-8A8B-11612F7DEF41}" type="pres">
      <dgm:prSet presAssocID="{C67CF8E3-ED7E-4C0D-8BD0-428A0F520446}" presName="connTx" presStyleLbl="parChTrans1D2" presStyleIdx="4" presStyleCnt="8"/>
      <dgm:spPr/>
    </dgm:pt>
    <dgm:pt modelId="{EF94CD0F-9CE6-4CA5-AA15-5E8465ACFBEB}" type="pres">
      <dgm:prSet presAssocID="{218B72C8-B3D2-4924-8A6B-2BC84979FC86}" presName="node" presStyleLbl="node1" presStyleIdx="4" presStyleCnt="8">
        <dgm:presLayoutVars>
          <dgm:bulletEnabled val="1"/>
        </dgm:presLayoutVars>
      </dgm:prSet>
      <dgm:spPr/>
    </dgm:pt>
    <dgm:pt modelId="{9A84D5C0-F5D1-4A30-967C-D06C97072EDD}" type="pres">
      <dgm:prSet presAssocID="{C6D1D4F5-0644-4F9B-8039-F2865C4400DD}" presName="Name9" presStyleLbl="parChTrans1D2" presStyleIdx="5" presStyleCnt="8"/>
      <dgm:spPr/>
    </dgm:pt>
    <dgm:pt modelId="{4B876ED1-D5B3-4FE2-B4D9-1DC20E2CE554}" type="pres">
      <dgm:prSet presAssocID="{C6D1D4F5-0644-4F9B-8039-F2865C4400DD}" presName="connTx" presStyleLbl="parChTrans1D2" presStyleIdx="5" presStyleCnt="8"/>
      <dgm:spPr/>
    </dgm:pt>
    <dgm:pt modelId="{2B05FE2D-5E9D-4895-B849-2EC7D80B7D86}" type="pres">
      <dgm:prSet presAssocID="{027B5FE8-AD9C-438C-BA9A-C86346F52510}" presName="node" presStyleLbl="node1" presStyleIdx="5" presStyleCnt="8">
        <dgm:presLayoutVars>
          <dgm:bulletEnabled val="1"/>
        </dgm:presLayoutVars>
      </dgm:prSet>
      <dgm:spPr/>
    </dgm:pt>
    <dgm:pt modelId="{11435A4A-630A-4E40-AB1D-DC9CFCC686F3}" type="pres">
      <dgm:prSet presAssocID="{545D4AF1-7032-4A22-92FB-308AF4ED53A7}" presName="Name9" presStyleLbl="parChTrans1D2" presStyleIdx="6" presStyleCnt="8"/>
      <dgm:spPr/>
    </dgm:pt>
    <dgm:pt modelId="{C6CD1847-DB4A-4F89-9C03-BB4CC928D26C}" type="pres">
      <dgm:prSet presAssocID="{545D4AF1-7032-4A22-92FB-308AF4ED53A7}" presName="connTx" presStyleLbl="parChTrans1D2" presStyleIdx="6" presStyleCnt="8"/>
      <dgm:spPr/>
    </dgm:pt>
    <dgm:pt modelId="{8E86B0C8-6AA7-448B-8B56-DC1E4A63F6BF}" type="pres">
      <dgm:prSet presAssocID="{86F5CF26-256F-4FC8-8745-30A040445D51}" presName="node" presStyleLbl="node1" presStyleIdx="6" presStyleCnt="8">
        <dgm:presLayoutVars>
          <dgm:bulletEnabled val="1"/>
        </dgm:presLayoutVars>
      </dgm:prSet>
      <dgm:spPr/>
    </dgm:pt>
    <dgm:pt modelId="{F892D744-2676-483B-8417-4F728D904ADB}" type="pres">
      <dgm:prSet presAssocID="{62EFAC50-C34A-4C8A-833A-1D73C2111A73}" presName="Name9" presStyleLbl="parChTrans1D2" presStyleIdx="7" presStyleCnt="8"/>
      <dgm:spPr/>
    </dgm:pt>
    <dgm:pt modelId="{A0445FA1-FE9B-4325-B0C5-7971565D28FC}" type="pres">
      <dgm:prSet presAssocID="{62EFAC50-C34A-4C8A-833A-1D73C2111A73}" presName="connTx" presStyleLbl="parChTrans1D2" presStyleIdx="7" presStyleCnt="8"/>
      <dgm:spPr/>
    </dgm:pt>
    <dgm:pt modelId="{364DE4A2-AD69-40F6-99B0-4441DC11AE84}" type="pres">
      <dgm:prSet presAssocID="{E8EF015E-0243-400E-BB95-62714A452F9D}" presName="node" presStyleLbl="node1" presStyleIdx="7" presStyleCnt="8">
        <dgm:presLayoutVars>
          <dgm:bulletEnabled val="1"/>
        </dgm:presLayoutVars>
      </dgm:prSet>
      <dgm:spPr/>
    </dgm:pt>
  </dgm:ptLst>
  <dgm:cxnLst>
    <dgm:cxn modelId="{19326507-483C-4DA3-9AE1-9E125F970A96}" type="presOf" srcId="{62EFAC50-C34A-4C8A-833A-1D73C2111A73}" destId="{A0445FA1-FE9B-4325-B0C5-7971565D28FC}" srcOrd="1" destOrd="0" presId="urn:microsoft.com/office/officeart/2005/8/layout/radial1"/>
    <dgm:cxn modelId="{6FD09A08-E239-4200-B74F-4FFABC03D6CD}" srcId="{21B0664D-F163-48D9-B808-E752BE6B6D6B}" destId="{C885487B-80AC-4525-9202-DEF6BB151B5F}" srcOrd="0" destOrd="0" parTransId="{B441A53C-C4BC-4166-AD73-43B7419B0776}" sibTransId="{F26D8627-294F-462C-86CC-0062F066E505}"/>
    <dgm:cxn modelId="{C8B14C0C-9FF0-41F9-B0F6-E13AF27064BF}" type="presOf" srcId="{5F92B149-1880-4EC0-9E7B-B88E46C612B0}" destId="{1FA17B47-6AA1-4CF1-B9B6-5A9AE99858E5}" srcOrd="1" destOrd="0" presId="urn:microsoft.com/office/officeart/2005/8/layout/radial1"/>
    <dgm:cxn modelId="{2D233A0E-5BCE-47FA-990B-EA6F3015C724}" srcId="{21B0664D-F163-48D9-B808-E752BE6B6D6B}" destId="{1FDFFB60-A97F-49B0-A730-111012451397}" srcOrd="3" destOrd="0" parTransId="{5F92B149-1880-4EC0-9E7B-B88E46C612B0}" sibTransId="{181B4F46-A1D4-47F7-BD6E-4DC882B24E67}"/>
    <dgm:cxn modelId="{13016214-0FE8-4370-B1F8-6CA7F18A7DC9}" type="presOf" srcId="{6BDDA6DB-E832-4C21-820F-F59083BE47B8}" destId="{6097F4DC-274F-4DF3-AD70-53A77624B13F}" srcOrd="0" destOrd="0" presId="urn:microsoft.com/office/officeart/2005/8/layout/radial1"/>
    <dgm:cxn modelId="{69191922-07E1-4F72-B7B4-A13E03C945BA}" srcId="{21B0664D-F163-48D9-B808-E752BE6B6D6B}" destId="{027B5FE8-AD9C-438C-BA9A-C86346F52510}" srcOrd="5" destOrd="0" parTransId="{C6D1D4F5-0644-4F9B-8039-F2865C4400DD}" sibTransId="{8DE646BC-32D8-4E1A-B3FD-B8D412664887}"/>
    <dgm:cxn modelId="{C72A5D25-371E-493B-9792-094A28247334}" type="presOf" srcId="{C885487B-80AC-4525-9202-DEF6BB151B5F}" destId="{270FBD02-0233-49CD-A706-7E1C7EB1A1FB}" srcOrd="0" destOrd="0" presId="urn:microsoft.com/office/officeart/2005/8/layout/radial1"/>
    <dgm:cxn modelId="{1CB6672D-2107-4312-9030-E914FA8722F2}" type="presOf" srcId="{DD0B323B-A674-4125-B341-D1B11BA7FC5C}" destId="{0D0F0E33-7915-4875-B86D-4D5E7AF25132}" srcOrd="0" destOrd="0" presId="urn:microsoft.com/office/officeart/2005/8/layout/radial1"/>
    <dgm:cxn modelId="{D3D03930-4603-4C44-9A79-53ADA16F52A9}" type="presOf" srcId="{21B0664D-F163-48D9-B808-E752BE6B6D6B}" destId="{F26860A5-0794-49A9-B2DD-ED941568DCC8}" srcOrd="0" destOrd="0" presId="urn:microsoft.com/office/officeart/2005/8/layout/radial1"/>
    <dgm:cxn modelId="{833A4E4B-3452-45A9-B7D9-2CDCE62C2932}" type="presOf" srcId="{1FDFFB60-A97F-49B0-A730-111012451397}" destId="{60315C5A-ABB1-4C79-8CA7-B6009D21921B}" srcOrd="0" destOrd="0" presId="urn:microsoft.com/office/officeart/2005/8/layout/radial1"/>
    <dgm:cxn modelId="{F8E32671-B226-40DA-809E-A33DB90CD9DB}" type="presOf" srcId="{B441A53C-C4BC-4166-AD73-43B7419B0776}" destId="{32CAAC8D-6837-4729-9F27-540EDF8E5587}" srcOrd="0" destOrd="0" presId="urn:microsoft.com/office/officeart/2005/8/layout/radial1"/>
    <dgm:cxn modelId="{82CBF552-B4FE-4F21-A9C3-B8A255B172D4}" type="presOf" srcId="{E8EF015E-0243-400E-BB95-62714A452F9D}" destId="{364DE4A2-AD69-40F6-99B0-4441DC11AE84}" srcOrd="0" destOrd="0" presId="urn:microsoft.com/office/officeart/2005/8/layout/radial1"/>
    <dgm:cxn modelId="{46A46855-BBA4-494E-B67D-4A98C7C65684}" type="presOf" srcId="{027B5FE8-AD9C-438C-BA9A-C86346F52510}" destId="{2B05FE2D-5E9D-4895-B849-2EC7D80B7D86}" srcOrd="0" destOrd="0" presId="urn:microsoft.com/office/officeart/2005/8/layout/radial1"/>
    <dgm:cxn modelId="{9BB97259-94E1-44B3-BF58-74DC10C639B4}" type="presOf" srcId="{C6D1D4F5-0644-4F9B-8039-F2865C4400DD}" destId="{4B876ED1-D5B3-4FE2-B4D9-1DC20E2CE554}" srcOrd="1" destOrd="0" presId="urn:microsoft.com/office/officeart/2005/8/layout/radial1"/>
    <dgm:cxn modelId="{940EF87F-1EDB-49E1-9249-3B105732A205}" srcId="{21B0664D-F163-48D9-B808-E752BE6B6D6B}" destId="{86F5CF26-256F-4FC8-8745-30A040445D51}" srcOrd="6" destOrd="0" parTransId="{545D4AF1-7032-4A22-92FB-308AF4ED53A7}" sibTransId="{36B62BD3-F584-4FF4-B442-2F6A4BA23FE6}"/>
    <dgm:cxn modelId="{C956EA80-B4E8-42C3-BB77-31E292BAE60E}" srcId="{21B0664D-F163-48D9-B808-E752BE6B6D6B}" destId="{E8EF015E-0243-400E-BB95-62714A452F9D}" srcOrd="7" destOrd="0" parTransId="{62EFAC50-C34A-4C8A-833A-1D73C2111A73}" sibTransId="{BB6798C9-5880-425D-9CBD-B4E07578EEA8}"/>
    <dgm:cxn modelId="{292C7F90-00BB-47E8-895D-C3E5959FA8CD}" type="presOf" srcId="{545D4AF1-7032-4A22-92FB-308AF4ED53A7}" destId="{C6CD1847-DB4A-4F89-9C03-BB4CC928D26C}" srcOrd="1" destOrd="0" presId="urn:microsoft.com/office/officeart/2005/8/layout/radial1"/>
    <dgm:cxn modelId="{699E9190-6A58-4410-B499-68DDB4C3875D}" type="presOf" srcId="{86F5CF26-256F-4FC8-8745-30A040445D51}" destId="{8E86B0C8-6AA7-448B-8B56-DC1E4A63F6BF}" srcOrd="0" destOrd="0" presId="urn:microsoft.com/office/officeart/2005/8/layout/radial1"/>
    <dgm:cxn modelId="{1D822E97-80B9-4B1E-BBD7-5D1101CB97AB}" type="presOf" srcId="{218B72C8-B3D2-4924-8A6B-2BC84979FC86}" destId="{EF94CD0F-9CE6-4CA5-AA15-5E8465ACFBEB}" srcOrd="0" destOrd="0" presId="urn:microsoft.com/office/officeart/2005/8/layout/radial1"/>
    <dgm:cxn modelId="{E45DED9B-C9EF-4B9C-9805-C928A31E69AB}" type="presOf" srcId="{58E22936-6CFD-4426-8410-8D2B661A9623}" destId="{ADAECB3F-DFFB-4B66-BB8D-BFB694E75F9D}" srcOrd="0" destOrd="0" presId="urn:microsoft.com/office/officeart/2005/8/layout/radial1"/>
    <dgm:cxn modelId="{8C577AA5-C1F0-424A-B033-6A4C6E0F8E67}" srcId="{21B0664D-F163-48D9-B808-E752BE6B6D6B}" destId="{218B72C8-B3D2-4924-8A6B-2BC84979FC86}" srcOrd="4" destOrd="0" parTransId="{C67CF8E3-ED7E-4C0D-8BD0-428A0F520446}" sibTransId="{AC495665-7FC3-487D-A150-E973E27A2F16}"/>
    <dgm:cxn modelId="{86B82CB7-8D19-49B8-BD84-61468D5C72FA}" srcId="{6BDDA6DB-E832-4C21-820F-F59083BE47B8}" destId="{21B0664D-F163-48D9-B808-E752BE6B6D6B}" srcOrd="0" destOrd="0" parTransId="{3E5E5A10-19C4-47D5-9863-1BB10B8F085E}" sibTransId="{3965A288-9300-475A-ADB5-799DEB4E8BA9}"/>
    <dgm:cxn modelId="{C80BCDB7-E37D-4E22-95FB-65BA6D2B075A}" type="presOf" srcId="{20B69F43-FB00-4926-A36A-E5DCB2C1B2CB}" destId="{59E55D1C-A142-4D5F-A21A-1977D1144287}" srcOrd="0" destOrd="0" presId="urn:microsoft.com/office/officeart/2005/8/layout/radial1"/>
    <dgm:cxn modelId="{25CA08B9-41F8-4045-B573-C0C3AFE91065}" type="presOf" srcId="{58E22936-6CFD-4426-8410-8D2B661A9623}" destId="{251B03EF-E077-4399-AA15-0E910F517145}" srcOrd="1" destOrd="0" presId="urn:microsoft.com/office/officeart/2005/8/layout/radial1"/>
    <dgm:cxn modelId="{75C8EDB9-9536-4851-94AB-747B3F63711F}" type="presOf" srcId="{62EFAC50-C34A-4C8A-833A-1D73C2111A73}" destId="{F892D744-2676-483B-8417-4F728D904ADB}" srcOrd="0" destOrd="0" presId="urn:microsoft.com/office/officeart/2005/8/layout/radial1"/>
    <dgm:cxn modelId="{86FE5CBA-0819-4633-A84B-0533BFB3B31D}" type="presOf" srcId="{B441A53C-C4BC-4166-AD73-43B7419B0776}" destId="{65302D2B-1D58-4AC0-A89D-917650DA0D54}" srcOrd="1" destOrd="0" presId="urn:microsoft.com/office/officeart/2005/8/layout/radial1"/>
    <dgm:cxn modelId="{6E4311C5-8CFB-4AD0-8BC2-C5DC38DDE589}" type="presOf" srcId="{5F92B149-1880-4EC0-9E7B-B88E46C612B0}" destId="{F8670A7E-C943-41C0-948A-A5E524B63828}" srcOrd="0" destOrd="0" presId="urn:microsoft.com/office/officeart/2005/8/layout/radial1"/>
    <dgm:cxn modelId="{CAE419CD-79B6-4615-8265-105A3532DE08}" srcId="{21B0664D-F163-48D9-B808-E752BE6B6D6B}" destId="{8FC62E14-9D6B-45D2-80CA-3322A8CDE1A5}" srcOrd="1" destOrd="0" parTransId="{58E22936-6CFD-4426-8410-8D2B661A9623}" sibTransId="{695619AC-2893-4EFF-8F3C-D3A5BABF7739}"/>
    <dgm:cxn modelId="{F6F443CE-ABB0-48CF-AFCA-A4774111BE4F}" srcId="{21B0664D-F163-48D9-B808-E752BE6B6D6B}" destId="{DD0B323B-A674-4125-B341-D1B11BA7FC5C}" srcOrd="2" destOrd="0" parTransId="{20B69F43-FB00-4926-A36A-E5DCB2C1B2CB}" sibTransId="{8200721F-BBB3-4BAE-8190-37FFBB47CE81}"/>
    <dgm:cxn modelId="{3782A1DE-8435-4C5C-AC24-37209813090A}" type="presOf" srcId="{20B69F43-FB00-4926-A36A-E5DCB2C1B2CB}" destId="{0F49F675-FE6C-46D4-A367-1F7A134B1010}" srcOrd="1" destOrd="0" presId="urn:microsoft.com/office/officeart/2005/8/layout/radial1"/>
    <dgm:cxn modelId="{AEEF50EA-26EE-4D47-9111-5CF7D182C3F4}" type="presOf" srcId="{C67CF8E3-ED7E-4C0D-8BD0-428A0F520446}" destId="{20870594-144C-4C77-9329-A2148ACF4BD1}" srcOrd="0" destOrd="0" presId="urn:microsoft.com/office/officeart/2005/8/layout/radial1"/>
    <dgm:cxn modelId="{2E5B1FEC-4A95-4F43-99E8-E8A6484539FE}" type="presOf" srcId="{545D4AF1-7032-4A22-92FB-308AF4ED53A7}" destId="{11435A4A-630A-4E40-AB1D-DC9CFCC686F3}" srcOrd="0" destOrd="0" presId="urn:microsoft.com/office/officeart/2005/8/layout/radial1"/>
    <dgm:cxn modelId="{DAF2F6EF-B44A-43A4-908D-1A733865AE4F}" type="presOf" srcId="{C6D1D4F5-0644-4F9B-8039-F2865C4400DD}" destId="{9A84D5C0-F5D1-4A30-967C-D06C97072EDD}" srcOrd="0" destOrd="0" presId="urn:microsoft.com/office/officeart/2005/8/layout/radial1"/>
    <dgm:cxn modelId="{CADBB3F1-AB97-4861-9E02-A0E32568B63B}" type="presOf" srcId="{C67CF8E3-ED7E-4C0D-8BD0-428A0F520446}" destId="{9A63E1A9-216C-4459-8A8B-11612F7DEF41}" srcOrd="1" destOrd="0" presId="urn:microsoft.com/office/officeart/2005/8/layout/radial1"/>
    <dgm:cxn modelId="{420A76F6-0945-4F74-9481-46F2DA40EA62}" type="presOf" srcId="{8FC62E14-9D6B-45D2-80CA-3322A8CDE1A5}" destId="{A90BA6B4-6E16-4A6C-BC43-2E11082E16DF}" srcOrd="0" destOrd="0" presId="urn:microsoft.com/office/officeart/2005/8/layout/radial1"/>
    <dgm:cxn modelId="{86698AA6-3A9C-4624-9AC7-ECD0471FA5AD}" type="presParOf" srcId="{6097F4DC-274F-4DF3-AD70-53A77624B13F}" destId="{F26860A5-0794-49A9-B2DD-ED941568DCC8}" srcOrd="0" destOrd="0" presId="urn:microsoft.com/office/officeart/2005/8/layout/radial1"/>
    <dgm:cxn modelId="{E1AD4AEE-696B-4AA7-BC68-A44602EA84F8}" type="presParOf" srcId="{6097F4DC-274F-4DF3-AD70-53A77624B13F}" destId="{32CAAC8D-6837-4729-9F27-540EDF8E5587}" srcOrd="1" destOrd="0" presId="urn:microsoft.com/office/officeart/2005/8/layout/radial1"/>
    <dgm:cxn modelId="{9D6CEACB-6DDA-48E7-8CCE-ECFE263A8FD9}" type="presParOf" srcId="{32CAAC8D-6837-4729-9F27-540EDF8E5587}" destId="{65302D2B-1D58-4AC0-A89D-917650DA0D54}" srcOrd="0" destOrd="0" presId="urn:microsoft.com/office/officeart/2005/8/layout/radial1"/>
    <dgm:cxn modelId="{11643E29-C04C-40EA-A4C5-06A6A0AD7FD1}" type="presParOf" srcId="{6097F4DC-274F-4DF3-AD70-53A77624B13F}" destId="{270FBD02-0233-49CD-A706-7E1C7EB1A1FB}" srcOrd="2" destOrd="0" presId="urn:microsoft.com/office/officeart/2005/8/layout/radial1"/>
    <dgm:cxn modelId="{B36C3859-EA1E-47F7-9DBF-86AC2C335390}" type="presParOf" srcId="{6097F4DC-274F-4DF3-AD70-53A77624B13F}" destId="{ADAECB3F-DFFB-4B66-BB8D-BFB694E75F9D}" srcOrd="3" destOrd="0" presId="urn:microsoft.com/office/officeart/2005/8/layout/radial1"/>
    <dgm:cxn modelId="{B305640D-F8BF-400D-B1E0-76C3E04BBCED}" type="presParOf" srcId="{ADAECB3F-DFFB-4B66-BB8D-BFB694E75F9D}" destId="{251B03EF-E077-4399-AA15-0E910F517145}" srcOrd="0" destOrd="0" presId="urn:microsoft.com/office/officeart/2005/8/layout/radial1"/>
    <dgm:cxn modelId="{3A0C21ED-19FD-44B7-8C2B-BB483F3FCC93}" type="presParOf" srcId="{6097F4DC-274F-4DF3-AD70-53A77624B13F}" destId="{A90BA6B4-6E16-4A6C-BC43-2E11082E16DF}" srcOrd="4" destOrd="0" presId="urn:microsoft.com/office/officeart/2005/8/layout/radial1"/>
    <dgm:cxn modelId="{CA58559C-1E7B-4759-86C6-E9A40A15CDB0}" type="presParOf" srcId="{6097F4DC-274F-4DF3-AD70-53A77624B13F}" destId="{59E55D1C-A142-4D5F-A21A-1977D1144287}" srcOrd="5" destOrd="0" presId="urn:microsoft.com/office/officeart/2005/8/layout/radial1"/>
    <dgm:cxn modelId="{0BDC9CC9-AD16-4803-BEF7-08823156E265}" type="presParOf" srcId="{59E55D1C-A142-4D5F-A21A-1977D1144287}" destId="{0F49F675-FE6C-46D4-A367-1F7A134B1010}" srcOrd="0" destOrd="0" presId="urn:microsoft.com/office/officeart/2005/8/layout/radial1"/>
    <dgm:cxn modelId="{55665D5A-B6CF-47F5-8D44-E815ABE53B32}" type="presParOf" srcId="{6097F4DC-274F-4DF3-AD70-53A77624B13F}" destId="{0D0F0E33-7915-4875-B86D-4D5E7AF25132}" srcOrd="6" destOrd="0" presId="urn:microsoft.com/office/officeart/2005/8/layout/radial1"/>
    <dgm:cxn modelId="{F66E7256-BB33-4238-84D7-C85FA60EDA82}" type="presParOf" srcId="{6097F4DC-274F-4DF3-AD70-53A77624B13F}" destId="{F8670A7E-C943-41C0-948A-A5E524B63828}" srcOrd="7" destOrd="0" presId="urn:microsoft.com/office/officeart/2005/8/layout/radial1"/>
    <dgm:cxn modelId="{121453E5-7B4C-4E74-A219-26BB695C2B2A}" type="presParOf" srcId="{F8670A7E-C943-41C0-948A-A5E524B63828}" destId="{1FA17B47-6AA1-4CF1-B9B6-5A9AE99858E5}" srcOrd="0" destOrd="0" presId="urn:microsoft.com/office/officeart/2005/8/layout/radial1"/>
    <dgm:cxn modelId="{29C97E1D-93A7-4FD3-A1D5-6BCCF0F40254}" type="presParOf" srcId="{6097F4DC-274F-4DF3-AD70-53A77624B13F}" destId="{60315C5A-ABB1-4C79-8CA7-B6009D21921B}" srcOrd="8" destOrd="0" presId="urn:microsoft.com/office/officeart/2005/8/layout/radial1"/>
    <dgm:cxn modelId="{4D496405-D1B9-489B-ABA4-89D4F335688C}" type="presParOf" srcId="{6097F4DC-274F-4DF3-AD70-53A77624B13F}" destId="{20870594-144C-4C77-9329-A2148ACF4BD1}" srcOrd="9" destOrd="0" presId="urn:microsoft.com/office/officeart/2005/8/layout/radial1"/>
    <dgm:cxn modelId="{D1EB944F-0C29-44A7-A464-6511107C8EEA}" type="presParOf" srcId="{20870594-144C-4C77-9329-A2148ACF4BD1}" destId="{9A63E1A9-216C-4459-8A8B-11612F7DEF41}" srcOrd="0" destOrd="0" presId="urn:microsoft.com/office/officeart/2005/8/layout/radial1"/>
    <dgm:cxn modelId="{FAA4EBE8-73C6-43A9-93B0-35EC300C9AA7}" type="presParOf" srcId="{6097F4DC-274F-4DF3-AD70-53A77624B13F}" destId="{EF94CD0F-9CE6-4CA5-AA15-5E8465ACFBEB}" srcOrd="10" destOrd="0" presId="urn:microsoft.com/office/officeart/2005/8/layout/radial1"/>
    <dgm:cxn modelId="{558EC5D6-DEF7-4C22-9660-F5184705D3FA}" type="presParOf" srcId="{6097F4DC-274F-4DF3-AD70-53A77624B13F}" destId="{9A84D5C0-F5D1-4A30-967C-D06C97072EDD}" srcOrd="11" destOrd="0" presId="urn:microsoft.com/office/officeart/2005/8/layout/radial1"/>
    <dgm:cxn modelId="{28875AD5-50FE-4396-A18D-E4DC1C224D2F}" type="presParOf" srcId="{9A84D5C0-F5D1-4A30-967C-D06C97072EDD}" destId="{4B876ED1-D5B3-4FE2-B4D9-1DC20E2CE554}" srcOrd="0" destOrd="0" presId="urn:microsoft.com/office/officeart/2005/8/layout/radial1"/>
    <dgm:cxn modelId="{87ED8AAE-947D-4D8B-8DDD-868F3F11792B}" type="presParOf" srcId="{6097F4DC-274F-4DF3-AD70-53A77624B13F}" destId="{2B05FE2D-5E9D-4895-B849-2EC7D80B7D86}" srcOrd="12" destOrd="0" presId="urn:microsoft.com/office/officeart/2005/8/layout/radial1"/>
    <dgm:cxn modelId="{08C18EA9-73AC-474A-B99C-AE26A86D7F48}" type="presParOf" srcId="{6097F4DC-274F-4DF3-AD70-53A77624B13F}" destId="{11435A4A-630A-4E40-AB1D-DC9CFCC686F3}" srcOrd="13" destOrd="0" presId="urn:microsoft.com/office/officeart/2005/8/layout/radial1"/>
    <dgm:cxn modelId="{07513167-F32C-4F2D-A896-4F0509A6193A}" type="presParOf" srcId="{11435A4A-630A-4E40-AB1D-DC9CFCC686F3}" destId="{C6CD1847-DB4A-4F89-9C03-BB4CC928D26C}" srcOrd="0" destOrd="0" presId="urn:microsoft.com/office/officeart/2005/8/layout/radial1"/>
    <dgm:cxn modelId="{2D319684-8FE6-4E5A-87EC-2528983C2E95}" type="presParOf" srcId="{6097F4DC-274F-4DF3-AD70-53A77624B13F}" destId="{8E86B0C8-6AA7-448B-8B56-DC1E4A63F6BF}" srcOrd="14" destOrd="0" presId="urn:microsoft.com/office/officeart/2005/8/layout/radial1"/>
    <dgm:cxn modelId="{8094B578-DD32-4232-BA8A-E20F6780EB83}" type="presParOf" srcId="{6097F4DC-274F-4DF3-AD70-53A77624B13F}" destId="{F892D744-2676-483B-8417-4F728D904ADB}" srcOrd="15" destOrd="0" presId="urn:microsoft.com/office/officeart/2005/8/layout/radial1"/>
    <dgm:cxn modelId="{15F5D13E-D920-4142-A22C-59B9C9168ECD}" type="presParOf" srcId="{F892D744-2676-483B-8417-4F728D904ADB}" destId="{A0445FA1-FE9B-4325-B0C5-7971565D28FC}" srcOrd="0" destOrd="0" presId="urn:microsoft.com/office/officeart/2005/8/layout/radial1"/>
    <dgm:cxn modelId="{58B55E71-FC66-45AF-9241-55BA47A9A6B6}" type="presParOf" srcId="{6097F4DC-274F-4DF3-AD70-53A77624B13F}" destId="{364DE4A2-AD69-40F6-99B0-4441DC11AE84}" srcOrd="16" destOrd="0" presId="urn:microsoft.com/office/officeart/2005/8/layout/radial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51CAAF-3AE0-4C67-96CA-F208589F9039}" type="doc">
      <dgm:prSet loTypeId="urn:microsoft.com/office/officeart/2005/8/layout/radial6" loCatId="relationship" qsTypeId="urn:microsoft.com/office/officeart/2005/8/quickstyle/simple5" qsCatId="simple" csTypeId="urn:microsoft.com/office/officeart/2005/8/colors/accent4_2" csCatId="accent4" phldr="1"/>
      <dgm:spPr/>
      <dgm:t>
        <a:bodyPr/>
        <a:lstStyle/>
        <a:p>
          <a:endParaRPr lang="en-US"/>
        </a:p>
      </dgm:t>
    </dgm:pt>
    <dgm:pt modelId="{D4DFC2F0-9AAD-4241-AD52-5480A9CEAEA8}">
      <dgm:prSet phldrT="[Text]" custT="1"/>
      <dgm:spPr/>
      <dgm:t>
        <a:bodyPr/>
        <a:lstStyle/>
        <a:p>
          <a:r>
            <a:rPr lang="en-US" sz="1800"/>
            <a:t>Elements of Patient-centered care</a:t>
          </a:r>
        </a:p>
      </dgm:t>
    </dgm:pt>
    <dgm:pt modelId="{5F1341B4-0DF4-4794-8740-D2125861D6EA}" type="parTrans" cxnId="{CE585D5B-B2C3-4C15-9466-390D8A36CDB1}">
      <dgm:prSet/>
      <dgm:spPr/>
      <dgm:t>
        <a:bodyPr/>
        <a:lstStyle/>
        <a:p>
          <a:endParaRPr lang="en-US" sz="2000"/>
        </a:p>
      </dgm:t>
    </dgm:pt>
    <dgm:pt modelId="{F2F5C946-2015-4E87-908F-AC5AD5B5AD83}" type="sibTrans" cxnId="{CE585D5B-B2C3-4C15-9466-390D8A36CDB1}">
      <dgm:prSet/>
      <dgm:spPr/>
      <dgm:t>
        <a:bodyPr/>
        <a:lstStyle/>
        <a:p>
          <a:endParaRPr lang="en-US" sz="2000"/>
        </a:p>
      </dgm:t>
    </dgm:pt>
    <dgm:pt modelId="{2C24E751-C278-4F4C-BE14-B003EBC48641}">
      <dgm:prSet phldrT="[Text]" custT="1"/>
      <dgm:spPr/>
      <dgm:t>
        <a:bodyPr/>
        <a:lstStyle/>
        <a:p>
          <a:r>
            <a:rPr lang="en-US" sz="1000"/>
            <a:t>Collaboration and team management</a:t>
          </a:r>
        </a:p>
      </dgm:t>
    </dgm:pt>
    <dgm:pt modelId="{BCEBC759-0121-4AC1-A15A-BCD9E036F540}" type="parTrans" cxnId="{CFBD8021-F313-4D7F-A714-570858F3F9E2}">
      <dgm:prSet/>
      <dgm:spPr/>
      <dgm:t>
        <a:bodyPr/>
        <a:lstStyle/>
        <a:p>
          <a:endParaRPr lang="en-US" sz="2000"/>
        </a:p>
      </dgm:t>
    </dgm:pt>
    <dgm:pt modelId="{10ED71A4-D83A-444A-B579-59EDBB0F8950}" type="sibTrans" cxnId="{CFBD8021-F313-4D7F-A714-570858F3F9E2}">
      <dgm:prSet/>
      <dgm:spPr/>
      <dgm:t>
        <a:bodyPr/>
        <a:lstStyle/>
        <a:p>
          <a:endParaRPr lang="en-US" sz="2000"/>
        </a:p>
      </dgm:t>
    </dgm:pt>
    <dgm:pt modelId="{2A96AC8D-CC25-490D-B091-2C7B6231929B}">
      <dgm:prSet phldrT="[Text]" custT="1"/>
      <dgm:spPr/>
      <dgm:t>
        <a:bodyPr/>
        <a:lstStyle/>
        <a:p>
          <a:r>
            <a:rPr lang="en-US" sz="1000"/>
            <a:t>Respect for patient's needs and preferences</a:t>
          </a:r>
        </a:p>
      </dgm:t>
    </dgm:pt>
    <dgm:pt modelId="{0A9BAA54-D954-4BE1-9AEF-7DD626B2C369}" type="parTrans" cxnId="{8B29EFBD-D6E5-4035-B051-AE5CBB713EF6}">
      <dgm:prSet/>
      <dgm:spPr/>
      <dgm:t>
        <a:bodyPr/>
        <a:lstStyle/>
        <a:p>
          <a:endParaRPr lang="en-US" sz="2000"/>
        </a:p>
      </dgm:t>
    </dgm:pt>
    <dgm:pt modelId="{A967C7F0-D473-4ACF-ADEE-FAEE37913FEB}" type="sibTrans" cxnId="{8B29EFBD-D6E5-4035-B051-AE5CBB713EF6}">
      <dgm:prSet/>
      <dgm:spPr/>
      <dgm:t>
        <a:bodyPr/>
        <a:lstStyle/>
        <a:p>
          <a:endParaRPr lang="en-US" sz="2000"/>
        </a:p>
      </dgm:t>
    </dgm:pt>
    <dgm:pt modelId="{AEBECA49-6F14-4B45-B2C0-8892461D31AE}">
      <dgm:prSet phldrT="[Text]" custT="1"/>
      <dgm:spPr/>
      <dgm:t>
        <a:bodyPr/>
        <a:lstStyle/>
        <a:p>
          <a:r>
            <a:rPr lang="en-US" sz="1000"/>
            <a:t>Sensitivity to non-medical and spiritual dimensions</a:t>
          </a:r>
        </a:p>
      </dgm:t>
    </dgm:pt>
    <dgm:pt modelId="{31D1FF74-6F3F-49E9-BADC-35B824894604}" type="parTrans" cxnId="{78021777-543D-4318-A676-9742B01AF127}">
      <dgm:prSet/>
      <dgm:spPr/>
      <dgm:t>
        <a:bodyPr/>
        <a:lstStyle/>
        <a:p>
          <a:endParaRPr lang="en-US" sz="2000"/>
        </a:p>
      </dgm:t>
    </dgm:pt>
    <dgm:pt modelId="{35C5F4F0-81B9-4E29-A59C-6FFBF6C6C955}" type="sibTrans" cxnId="{78021777-543D-4318-A676-9742B01AF127}">
      <dgm:prSet/>
      <dgm:spPr/>
      <dgm:t>
        <a:bodyPr/>
        <a:lstStyle/>
        <a:p>
          <a:endParaRPr lang="en-US" sz="2000"/>
        </a:p>
      </dgm:t>
    </dgm:pt>
    <dgm:pt modelId="{5B466A9A-9D37-4A8A-B549-B89FD99351D3}">
      <dgm:prSet phldrT="[Text]" custT="1"/>
      <dgm:spPr/>
      <dgm:t>
        <a:bodyPr/>
        <a:lstStyle/>
        <a:p>
          <a:r>
            <a:rPr lang="en-US" sz="1000"/>
            <a:t>Free-flowing, accesible information</a:t>
          </a:r>
        </a:p>
      </dgm:t>
    </dgm:pt>
    <dgm:pt modelId="{13C1EDCA-27B4-46C3-B639-5CF7274BD4D6}" type="parTrans" cxnId="{A9898F97-7D39-47E9-AF30-3E85E726B6F1}">
      <dgm:prSet/>
      <dgm:spPr/>
      <dgm:t>
        <a:bodyPr/>
        <a:lstStyle/>
        <a:p>
          <a:endParaRPr lang="en-US" sz="2000"/>
        </a:p>
      </dgm:t>
    </dgm:pt>
    <dgm:pt modelId="{57A86939-B2CD-4D48-9654-A59CB372C478}" type="sibTrans" cxnId="{A9898F97-7D39-47E9-AF30-3E85E726B6F1}">
      <dgm:prSet/>
      <dgm:spPr/>
      <dgm:t>
        <a:bodyPr/>
        <a:lstStyle/>
        <a:p>
          <a:endParaRPr lang="en-US" sz="2000"/>
        </a:p>
      </dgm:t>
    </dgm:pt>
    <dgm:pt modelId="{EBD78078-3D4C-4E60-B7AC-09F890206402}">
      <dgm:prSet custT="1"/>
      <dgm:spPr/>
      <dgm:t>
        <a:bodyPr/>
        <a:lstStyle/>
        <a:p>
          <a:r>
            <a:rPr lang="en-US" sz="1000"/>
            <a:t>Involvement of family and friends</a:t>
          </a:r>
        </a:p>
      </dgm:t>
    </dgm:pt>
    <dgm:pt modelId="{0CF581A2-9EC4-4C6E-8D02-95407F9FB4C4}" type="parTrans" cxnId="{D4D5FADD-CC05-489D-89A3-CABD0CE850FA}">
      <dgm:prSet/>
      <dgm:spPr/>
      <dgm:t>
        <a:bodyPr/>
        <a:lstStyle/>
        <a:p>
          <a:endParaRPr lang="en-US" sz="2000"/>
        </a:p>
      </dgm:t>
    </dgm:pt>
    <dgm:pt modelId="{5EF6DC81-7DFF-4281-83A9-8CEB3A24BBD5}" type="sibTrans" cxnId="{D4D5FADD-CC05-489D-89A3-CABD0CE850FA}">
      <dgm:prSet/>
      <dgm:spPr/>
      <dgm:t>
        <a:bodyPr/>
        <a:lstStyle/>
        <a:p>
          <a:endParaRPr lang="en-US" sz="2000"/>
        </a:p>
      </dgm:t>
    </dgm:pt>
    <dgm:pt modelId="{23EA03D2-1568-40AE-9F5C-22F620B98191}">
      <dgm:prSet custT="1"/>
      <dgm:spPr/>
      <dgm:t>
        <a:bodyPr/>
        <a:lstStyle/>
        <a:p>
          <a:r>
            <a:rPr lang="en-US" sz="1000"/>
            <a:t>Education and shared knowledge</a:t>
          </a:r>
        </a:p>
      </dgm:t>
    </dgm:pt>
    <dgm:pt modelId="{917697CE-8423-47EF-9C1C-CF371EB24BAA}" type="parTrans" cxnId="{FBCE7E06-42F4-469F-955B-36AB77BF2888}">
      <dgm:prSet/>
      <dgm:spPr/>
      <dgm:t>
        <a:bodyPr/>
        <a:lstStyle/>
        <a:p>
          <a:endParaRPr lang="en-US" sz="2000"/>
        </a:p>
      </dgm:t>
    </dgm:pt>
    <dgm:pt modelId="{EA7C5777-C637-474A-B21C-77DDE0931D2F}" type="sibTrans" cxnId="{FBCE7E06-42F4-469F-955B-36AB77BF2888}">
      <dgm:prSet/>
      <dgm:spPr/>
      <dgm:t>
        <a:bodyPr/>
        <a:lstStyle/>
        <a:p>
          <a:endParaRPr lang="en-US" sz="2000"/>
        </a:p>
      </dgm:t>
    </dgm:pt>
    <dgm:pt modelId="{1AE706BB-2FA1-4966-876C-672FCEB12A5A}" type="pres">
      <dgm:prSet presAssocID="{1951CAAF-3AE0-4C67-96CA-F208589F9039}" presName="Name0" presStyleCnt="0">
        <dgm:presLayoutVars>
          <dgm:chMax val="1"/>
          <dgm:dir/>
          <dgm:animLvl val="ctr"/>
          <dgm:resizeHandles val="exact"/>
        </dgm:presLayoutVars>
      </dgm:prSet>
      <dgm:spPr/>
    </dgm:pt>
    <dgm:pt modelId="{A2FF59F7-21D7-4AD7-B29A-B81DC229F408}" type="pres">
      <dgm:prSet presAssocID="{D4DFC2F0-9AAD-4241-AD52-5480A9CEAEA8}" presName="centerShape" presStyleLbl="node0" presStyleIdx="0" presStyleCnt="1" custScaleX="110307" custScaleY="103662"/>
      <dgm:spPr/>
    </dgm:pt>
    <dgm:pt modelId="{0B2A9ECB-A828-4A40-ADCB-A15E83B1FD8D}" type="pres">
      <dgm:prSet presAssocID="{2C24E751-C278-4F4C-BE14-B003EBC48641}" presName="node" presStyleLbl="node1" presStyleIdx="0" presStyleCnt="6" custScaleX="106321" custScaleY="106661">
        <dgm:presLayoutVars>
          <dgm:bulletEnabled val="1"/>
        </dgm:presLayoutVars>
      </dgm:prSet>
      <dgm:spPr/>
    </dgm:pt>
    <dgm:pt modelId="{D8C43965-9C46-4C21-8738-D71CF04CBD62}" type="pres">
      <dgm:prSet presAssocID="{2C24E751-C278-4F4C-BE14-B003EBC48641}" presName="dummy" presStyleCnt="0"/>
      <dgm:spPr/>
    </dgm:pt>
    <dgm:pt modelId="{110D1142-9DF4-4448-91F9-1ACE84C7D8CB}" type="pres">
      <dgm:prSet presAssocID="{10ED71A4-D83A-444A-B579-59EDBB0F8950}" presName="sibTrans" presStyleLbl="sibTrans2D1" presStyleIdx="0" presStyleCnt="6"/>
      <dgm:spPr/>
    </dgm:pt>
    <dgm:pt modelId="{8C8A51E5-BEDF-4EE2-A243-0694050872DF}" type="pres">
      <dgm:prSet presAssocID="{2A96AC8D-CC25-490D-B091-2C7B6231929B}" presName="node" presStyleLbl="node1" presStyleIdx="1" presStyleCnt="6">
        <dgm:presLayoutVars>
          <dgm:bulletEnabled val="1"/>
        </dgm:presLayoutVars>
      </dgm:prSet>
      <dgm:spPr/>
    </dgm:pt>
    <dgm:pt modelId="{37CB2B94-2C60-4C93-B7F4-2B350E218BB0}" type="pres">
      <dgm:prSet presAssocID="{2A96AC8D-CC25-490D-B091-2C7B6231929B}" presName="dummy" presStyleCnt="0"/>
      <dgm:spPr/>
    </dgm:pt>
    <dgm:pt modelId="{32F92033-A00A-46CF-97D0-4F0594A67650}" type="pres">
      <dgm:prSet presAssocID="{A967C7F0-D473-4ACF-ADEE-FAEE37913FEB}" presName="sibTrans" presStyleLbl="sibTrans2D1" presStyleIdx="1" presStyleCnt="6"/>
      <dgm:spPr/>
    </dgm:pt>
    <dgm:pt modelId="{95007D54-A0DD-4628-A6AD-41867D274A9D}" type="pres">
      <dgm:prSet presAssocID="{AEBECA49-6F14-4B45-B2C0-8892461D31AE}" presName="node" presStyleLbl="node1" presStyleIdx="2" presStyleCnt="6">
        <dgm:presLayoutVars>
          <dgm:bulletEnabled val="1"/>
        </dgm:presLayoutVars>
      </dgm:prSet>
      <dgm:spPr/>
    </dgm:pt>
    <dgm:pt modelId="{558A31F9-374C-41CA-9ED1-30ED4EAE1FE8}" type="pres">
      <dgm:prSet presAssocID="{AEBECA49-6F14-4B45-B2C0-8892461D31AE}" presName="dummy" presStyleCnt="0"/>
      <dgm:spPr/>
    </dgm:pt>
    <dgm:pt modelId="{7678CC52-4B4F-41EC-BF23-58CBE3D5E6D1}" type="pres">
      <dgm:prSet presAssocID="{35C5F4F0-81B9-4E29-A59C-6FFBF6C6C955}" presName="sibTrans" presStyleLbl="sibTrans2D1" presStyleIdx="2" presStyleCnt="6"/>
      <dgm:spPr/>
    </dgm:pt>
    <dgm:pt modelId="{7B1E75FE-5A63-4E30-9B26-9041C7BCF1A1}" type="pres">
      <dgm:prSet presAssocID="{5B466A9A-9D37-4A8A-B549-B89FD99351D3}" presName="node" presStyleLbl="node1" presStyleIdx="3" presStyleCnt="6">
        <dgm:presLayoutVars>
          <dgm:bulletEnabled val="1"/>
        </dgm:presLayoutVars>
      </dgm:prSet>
      <dgm:spPr/>
    </dgm:pt>
    <dgm:pt modelId="{47C674CB-13AA-4FB5-BFDA-2E9A1E76E275}" type="pres">
      <dgm:prSet presAssocID="{5B466A9A-9D37-4A8A-B549-B89FD99351D3}" presName="dummy" presStyleCnt="0"/>
      <dgm:spPr/>
    </dgm:pt>
    <dgm:pt modelId="{06F64571-13D2-41D0-A8CA-FE1096F9E140}" type="pres">
      <dgm:prSet presAssocID="{57A86939-B2CD-4D48-9654-A59CB372C478}" presName="sibTrans" presStyleLbl="sibTrans2D1" presStyleIdx="3" presStyleCnt="6"/>
      <dgm:spPr/>
    </dgm:pt>
    <dgm:pt modelId="{166FCE2A-E330-430A-B196-A90CBA590275}" type="pres">
      <dgm:prSet presAssocID="{EBD78078-3D4C-4E60-B7AC-09F890206402}" presName="node" presStyleLbl="node1" presStyleIdx="4" presStyleCnt="6">
        <dgm:presLayoutVars>
          <dgm:bulletEnabled val="1"/>
        </dgm:presLayoutVars>
      </dgm:prSet>
      <dgm:spPr/>
    </dgm:pt>
    <dgm:pt modelId="{2B054294-9D57-418A-898E-8AD101D497B9}" type="pres">
      <dgm:prSet presAssocID="{EBD78078-3D4C-4E60-B7AC-09F890206402}" presName="dummy" presStyleCnt="0"/>
      <dgm:spPr/>
    </dgm:pt>
    <dgm:pt modelId="{46DCA853-0018-4FBF-B9A7-2AF634860385}" type="pres">
      <dgm:prSet presAssocID="{5EF6DC81-7DFF-4281-83A9-8CEB3A24BBD5}" presName="sibTrans" presStyleLbl="sibTrans2D1" presStyleIdx="4" presStyleCnt="6"/>
      <dgm:spPr/>
    </dgm:pt>
    <dgm:pt modelId="{F5D31265-50AC-4E8B-82EA-FFD2C41246F8}" type="pres">
      <dgm:prSet presAssocID="{23EA03D2-1568-40AE-9F5C-22F620B98191}" presName="node" presStyleLbl="node1" presStyleIdx="5" presStyleCnt="6">
        <dgm:presLayoutVars>
          <dgm:bulletEnabled val="1"/>
        </dgm:presLayoutVars>
      </dgm:prSet>
      <dgm:spPr/>
    </dgm:pt>
    <dgm:pt modelId="{02365B3C-2ACB-4436-8C39-986BD00C4236}" type="pres">
      <dgm:prSet presAssocID="{23EA03D2-1568-40AE-9F5C-22F620B98191}" presName="dummy" presStyleCnt="0"/>
      <dgm:spPr/>
    </dgm:pt>
    <dgm:pt modelId="{AB03596C-9887-4629-B4A5-6C6E8A2DA679}" type="pres">
      <dgm:prSet presAssocID="{EA7C5777-C637-474A-B21C-77DDE0931D2F}" presName="sibTrans" presStyleLbl="sibTrans2D1" presStyleIdx="5" presStyleCnt="6"/>
      <dgm:spPr/>
    </dgm:pt>
  </dgm:ptLst>
  <dgm:cxnLst>
    <dgm:cxn modelId="{FBCE7E06-42F4-469F-955B-36AB77BF2888}" srcId="{D4DFC2F0-9AAD-4241-AD52-5480A9CEAEA8}" destId="{23EA03D2-1568-40AE-9F5C-22F620B98191}" srcOrd="5" destOrd="0" parTransId="{917697CE-8423-47EF-9C1C-CF371EB24BAA}" sibTransId="{EA7C5777-C637-474A-B21C-77DDE0931D2F}"/>
    <dgm:cxn modelId="{81D37815-61D1-4CDD-A5C7-E8CC8AF61CDB}" type="presOf" srcId="{23EA03D2-1568-40AE-9F5C-22F620B98191}" destId="{F5D31265-50AC-4E8B-82EA-FFD2C41246F8}" srcOrd="0" destOrd="0" presId="urn:microsoft.com/office/officeart/2005/8/layout/radial6"/>
    <dgm:cxn modelId="{23D3D915-32B9-424F-A620-3E492ECBCBF3}" type="presOf" srcId="{10ED71A4-D83A-444A-B579-59EDBB0F8950}" destId="{110D1142-9DF4-4448-91F9-1ACE84C7D8CB}" srcOrd="0" destOrd="0" presId="urn:microsoft.com/office/officeart/2005/8/layout/radial6"/>
    <dgm:cxn modelId="{E194F315-1A4B-4777-9BC6-45CFD2BA07D7}" type="presOf" srcId="{5B466A9A-9D37-4A8A-B549-B89FD99351D3}" destId="{7B1E75FE-5A63-4E30-9B26-9041C7BCF1A1}" srcOrd="0" destOrd="0" presId="urn:microsoft.com/office/officeart/2005/8/layout/radial6"/>
    <dgm:cxn modelId="{CFBD8021-F313-4D7F-A714-570858F3F9E2}" srcId="{D4DFC2F0-9AAD-4241-AD52-5480A9CEAEA8}" destId="{2C24E751-C278-4F4C-BE14-B003EBC48641}" srcOrd="0" destOrd="0" parTransId="{BCEBC759-0121-4AC1-A15A-BCD9E036F540}" sibTransId="{10ED71A4-D83A-444A-B579-59EDBB0F8950}"/>
    <dgm:cxn modelId="{CE585D5B-B2C3-4C15-9466-390D8A36CDB1}" srcId="{1951CAAF-3AE0-4C67-96CA-F208589F9039}" destId="{D4DFC2F0-9AAD-4241-AD52-5480A9CEAEA8}" srcOrd="0" destOrd="0" parTransId="{5F1341B4-0DF4-4794-8740-D2125861D6EA}" sibTransId="{F2F5C946-2015-4E87-908F-AC5AD5B5AD83}"/>
    <dgm:cxn modelId="{3176C841-8040-40EB-93A2-B2E2344A4420}" type="presOf" srcId="{2A96AC8D-CC25-490D-B091-2C7B6231929B}" destId="{8C8A51E5-BEDF-4EE2-A243-0694050872DF}" srcOrd="0" destOrd="0" presId="urn:microsoft.com/office/officeart/2005/8/layout/radial6"/>
    <dgm:cxn modelId="{FA821B6D-863E-440A-BF64-FCE629D50FEA}" type="presOf" srcId="{AEBECA49-6F14-4B45-B2C0-8892461D31AE}" destId="{95007D54-A0DD-4628-A6AD-41867D274A9D}" srcOrd="0" destOrd="0" presId="urn:microsoft.com/office/officeart/2005/8/layout/radial6"/>
    <dgm:cxn modelId="{3733F573-3193-4C0A-8192-3A0FC686E8D8}" type="presOf" srcId="{1951CAAF-3AE0-4C67-96CA-F208589F9039}" destId="{1AE706BB-2FA1-4966-876C-672FCEB12A5A}" srcOrd="0" destOrd="0" presId="urn:microsoft.com/office/officeart/2005/8/layout/radial6"/>
    <dgm:cxn modelId="{78021777-543D-4318-A676-9742B01AF127}" srcId="{D4DFC2F0-9AAD-4241-AD52-5480A9CEAEA8}" destId="{AEBECA49-6F14-4B45-B2C0-8892461D31AE}" srcOrd="2" destOrd="0" parTransId="{31D1FF74-6F3F-49E9-BADC-35B824894604}" sibTransId="{35C5F4F0-81B9-4E29-A59C-6FFBF6C6C955}"/>
    <dgm:cxn modelId="{3C384D58-6179-45FB-875E-35B66C3CA7C2}" type="presOf" srcId="{5EF6DC81-7DFF-4281-83A9-8CEB3A24BBD5}" destId="{46DCA853-0018-4FBF-B9A7-2AF634860385}" srcOrd="0" destOrd="0" presId="urn:microsoft.com/office/officeart/2005/8/layout/radial6"/>
    <dgm:cxn modelId="{A9898F97-7D39-47E9-AF30-3E85E726B6F1}" srcId="{D4DFC2F0-9AAD-4241-AD52-5480A9CEAEA8}" destId="{5B466A9A-9D37-4A8A-B549-B89FD99351D3}" srcOrd="3" destOrd="0" parTransId="{13C1EDCA-27B4-46C3-B639-5CF7274BD4D6}" sibTransId="{57A86939-B2CD-4D48-9654-A59CB372C478}"/>
    <dgm:cxn modelId="{457FC9A8-628B-4BE5-9FBE-FC8416CAE714}" type="presOf" srcId="{2C24E751-C278-4F4C-BE14-B003EBC48641}" destId="{0B2A9ECB-A828-4A40-ADCB-A15E83B1FD8D}" srcOrd="0" destOrd="0" presId="urn:microsoft.com/office/officeart/2005/8/layout/radial6"/>
    <dgm:cxn modelId="{990E22AA-D3F3-4C51-B9EA-4AD95E9BAFC7}" type="presOf" srcId="{EA7C5777-C637-474A-B21C-77DDE0931D2F}" destId="{AB03596C-9887-4629-B4A5-6C6E8A2DA679}" srcOrd="0" destOrd="0" presId="urn:microsoft.com/office/officeart/2005/8/layout/radial6"/>
    <dgm:cxn modelId="{8B29EFBD-D6E5-4035-B051-AE5CBB713EF6}" srcId="{D4DFC2F0-9AAD-4241-AD52-5480A9CEAEA8}" destId="{2A96AC8D-CC25-490D-B091-2C7B6231929B}" srcOrd="1" destOrd="0" parTransId="{0A9BAA54-D954-4BE1-9AEF-7DD626B2C369}" sibTransId="{A967C7F0-D473-4ACF-ADEE-FAEE37913FEB}"/>
    <dgm:cxn modelId="{D4D5FADD-CC05-489D-89A3-CABD0CE850FA}" srcId="{D4DFC2F0-9AAD-4241-AD52-5480A9CEAEA8}" destId="{EBD78078-3D4C-4E60-B7AC-09F890206402}" srcOrd="4" destOrd="0" parTransId="{0CF581A2-9EC4-4C6E-8D02-95407F9FB4C4}" sibTransId="{5EF6DC81-7DFF-4281-83A9-8CEB3A24BBD5}"/>
    <dgm:cxn modelId="{F6F921DE-1B2E-4F2F-88D0-8A4DBB6167AD}" type="presOf" srcId="{35C5F4F0-81B9-4E29-A59C-6FFBF6C6C955}" destId="{7678CC52-4B4F-41EC-BF23-58CBE3D5E6D1}" srcOrd="0" destOrd="0" presId="urn:microsoft.com/office/officeart/2005/8/layout/radial6"/>
    <dgm:cxn modelId="{EDFDF0F5-D6CB-4DC1-9FC3-431647A84D7B}" type="presOf" srcId="{A967C7F0-D473-4ACF-ADEE-FAEE37913FEB}" destId="{32F92033-A00A-46CF-97D0-4F0594A67650}" srcOrd="0" destOrd="0" presId="urn:microsoft.com/office/officeart/2005/8/layout/radial6"/>
    <dgm:cxn modelId="{0F5E6FF8-4114-4831-ADA2-7887267D49BD}" type="presOf" srcId="{57A86939-B2CD-4D48-9654-A59CB372C478}" destId="{06F64571-13D2-41D0-A8CA-FE1096F9E140}" srcOrd="0" destOrd="0" presId="urn:microsoft.com/office/officeart/2005/8/layout/radial6"/>
    <dgm:cxn modelId="{9CF0D6FD-572F-4F57-9871-A6F8B833932A}" type="presOf" srcId="{EBD78078-3D4C-4E60-B7AC-09F890206402}" destId="{166FCE2A-E330-430A-B196-A90CBA590275}" srcOrd="0" destOrd="0" presId="urn:microsoft.com/office/officeart/2005/8/layout/radial6"/>
    <dgm:cxn modelId="{D4EA62FE-AE9F-48AF-81C3-C9915D09E78B}" type="presOf" srcId="{D4DFC2F0-9AAD-4241-AD52-5480A9CEAEA8}" destId="{A2FF59F7-21D7-4AD7-B29A-B81DC229F408}" srcOrd="0" destOrd="0" presId="urn:microsoft.com/office/officeart/2005/8/layout/radial6"/>
    <dgm:cxn modelId="{996E760B-3B0B-4BCF-8647-129F4400068A}" type="presParOf" srcId="{1AE706BB-2FA1-4966-876C-672FCEB12A5A}" destId="{A2FF59F7-21D7-4AD7-B29A-B81DC229F408}" srcOrd="0" destOrd="0" presId="urn:microsoft.com/office/officeart/2005/8/layout/radial6"/>
    <dgm:cxn modelId="{A3B6244E-6C69-4641-8F11-C2B913E533F6}" type="presParOf" srcId="{1AE706BB-2FA1-4966-876C-672FCEB12A5A}" destId="{0B2A9ECB-A828-4A40-ADCB-A15E83B1FD8D}" srcOrd="1" destOrd="0" presId="urn:microsoft.com/office/officeart/2005/8/layout/radial6"/>
    <dgm:cxn modelId="{83DB4B2B-B3E2-4CA8-9698-60C5E955C022}" type="presParOf" srcId="{1AE706BB-2FA1-4966-876C-672FCEB12A5A}" destId="{D8C43965-9C46-4C21-8738-D71CF04CBD62}" srcOrd="2" destOrd="0" presId="urn:microsoft.com/office/officeart/2005/8/layout/radial6"/>
    <dgm:cxn modelId="{4AFADA83-5483-4CF7-A122-C6055B242883}" type="presParOf" srcId="{1AE706BB-2FA1-4966-876C-672FCEB12A5A}" destId="{110D1142-9DF4-4448-91F9-1ACE84C7D8CB}" srcOrd="3" destOrd="0" presId="urn:microsoft.com/office/officeart/2005/8/layout/radial6"/>
    <dgm:cxn modelId="{7555B333-0395-4577-A5C9-1B3566A77160}" type="presParOf" srcId="{1AE706BB-2FA1-4966-876C-672FCEB12A5A}" destId="{8C8A51E5-BEDF-4EE2-A243-0694050872DF}" srcOrd="4" destOrd="0" presId="urn:microsoft.com/office/officeart/2005/8/layout/radial6"/>
    <dgm:cxn modelId="{2F7CB575-3FF7-424A-8C60-88105124D2BB}" type="presParOf" srcId="{1AE706BB-2FA1-4966-876C-672FCEB12A5A}" destId="{37CB2B94-2C60-4C93-B7F4-2B350E218BB0}" srcOrd="5" destOrd="0" presId="urn:microsoft.com/office/officeart/2005/8/layout/radial6"/>
    <dgm:cxn modelId="{351BFBE6-C297-4D66-BB17-DA404266C032}" type="presParOf" srcId="{1AE706BB-2FA1-4966-876C-672FCEB12A5A}" destId="{32F92033-A00A-46CF-97D0-4F0594A67650}" srcOrd="6" destOrd="0" presId="urn:microsoft.com/office/officeart/2005/8/layout/radial6"/>
    <dgm:cxn modelId="{F180D6B9-872A-4718-8625-4BB2FF98E141}" type="presParOf" srcId="{1AE706BB-2FA1-4966-876C-672FCEB12A5A}" destId="{95007D54-A0DD-4628-A6AD-41867D274A9D}" srcOrd="7" destOrd="0" presId="urn:microsoft.com/office/officeart/2005/8/layout/radial6"/>
    <dgm:cxn modelId="{5FA0B8E5-6402-433E-9E7F-3265A70E7CE7}" type="presParOf" srcId="{1AE706BB-2FA1-4966-876C-672FCEB12A5A}" destId="{558A31F9-374C-41CA-9ED1-30ED4EAE1FE8}" srcOrd="8" destOrd="0" presId="urn:microsoft.com/office/officeart/2005/8/layout/radial6"/>
    <dgm:cxn modelId="{2E81166F-6290-4CCF-B513-1B250E3A9A18}" type="presParOf" srcId="{1AE706BB-2FA1-4966-876C-672FCEB12A5A}" destId="{7678CC52-4B4F-41EC-BF23-58CBE3D5E6D1}" srcOrd="9" destOrd="0" presId="urn:microsoft.com/office/officeart/2005/8/layout/radial6"/>
    <dgm:cxn modelId="{C8C83BAA-6E4F-4C50-89AB-7FA1BCE0B03F}" type="presParOf" srcId="{1AE706BB-2FA1-4966-876C-672FCEB12A5A}" destId="{7B1E75FE-5A63-4E30-9B26-9041C7BCF1A1}" srcOrd="10" destOrd="0" presId="urn:microsoft.com/office/officeart/2005/8/layout/radial6"/>
    <dgm:cxn modelId="{1A59838F-23F1-46B9-8DE4-9A05ED83CED7}" type="presParOf" srcId="{1AE706BB-2FA1-4966-876C-672FCEB12A5A}" destId="{47C674CB-13AA-4FB5-BFDA-2E9A1E76E275}" srcOrd="11" destOrd="0" presId="urn:microsoft.com/office/officeart/2005/8/layout/radial6"/>
    <dgm:cxn modelId="{C134E461-7079-494B-A79B-71A9E116CA82}" type="presParOf" srcId="{1AE706BB-2FA1-4966-876C-672FCEB12A5A}" destId="{06F64571-13D2-41D0-A8CA-FE1096F9E140}" srcOrd="12" destOrd="0" presId="urn:microsoft.com/office/officeart/2005/8/layout/radial6"/>
    <dgm:cxn modelId="{A9209233-5820-4253-B385-F358F5F92FF4}" type="presParOf" srcId="{1AE706BB-2FA1-4966-876C-672FCEB12A5A}" destId="{166FCE2A-E330-430A-B196-A90CBA590275}" srcOrd="13" destOrd="0" presId="urn:microsoft.com/office/officeart/2005/8/layout/radial6"/>
    <dgm:cxn modelId="{8EFDDF92-4256-427D-8F7B-44CE28F5F211}" type="presParOf" srcId="{1AE706BB-2FA1-4966-876C-672FCEB12A5A}" destId="{2B054294-9D57-418A-898E-8AD101D497B9}" srcOrd="14" destOrd="0" presId="urn:microsoft.com/office/officeart/2005/8/layout/radial6"/>
    <dgm:cxn modelId="{A452AB6E-3130-4D3B-9780-382F8B7A05EB}" type="presParOf" srcId="{1AE706BB-2FA1-4966-876C-672FCEB12A5A}" destId="{46DCA853-0018-4FBF-B9A7-2AF634860385}" srcOrd="15" destOrd="0" presId="urn:microsoft.com/office/officeart/2005/8/layout/radial6"/>
    <dgm:cxn modelId="{B3F17136-E336-4D83-AAF5-2149ABD5F8D2}" type="presParOf" srcId="{1AE706BB-2FA1-4966-876C-672FCEB12A5A}" destId="{F5D31265-50AC-4E8B-82EA-FFD2C41246F8}" srcOrd="16" destOrd="0" presId="urn:microsoft.com/office/officeart/2005/8/layout/radial6"/>
    <dgm:cxn modelId="{4AEE6562-0614-4232-B602-E8352DCF27CB}" type="presParOf" srcId="{1AE706BB-2FA1-4966-876C-672FCEB12A5A}" destId="{02365B3C-2ACB-4436-8C39-986BD00C4236}" srcOrd="17" destOrd="0" presId="urn:microsoft.com/office/officeart/2005/8/layout/radial6"/>
    <dgm:cxn modelId="{8C5BAB75-487F-4C32-8A47-71F2C343FF67}" type="presParOf" srcId="{1AE706BB-2FA1-4966-876C-672FCEB12A5A}" destId="{AB03596C-9887-4629-B4A5-6C6E8A2DA679}" srcOrd="18" destOrd="0" presId="urn:microsoft.com/office/officeart/2005/8/layout/radial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9309D9F-570B-4061-9E58-F590650E2D94}" type="doc">
      <dgm:prSet loTypeId="urn:microsoft.com/office/officeart/2005/8/layout/target2" loCatId="relationship" qsTypeId="urn:microsoft.com/office/officeart/2005/8/quickstyle/simple1" qsCatId="simple" csTypeId="urn:microsoft.com/office/officeart/2005/8/colors/colorful5" csCatId="colorful" phldr="1"/>
      <dgm:spPr/>
      <dgm:t>
        <a:bodyPr/>
        <a:lstStyle/>
        <a:p>
          <a:endParaRPr lang="en-US"/>
        </a:p>
      </dgm:t>
    </dgm:pt>
    <dgm:pt modelId="{8F1A5E9F-5852-4F92-A360-B384CF260F6F}">
      <dgm:prSet phldrT="[Text]"/>
      <dgm:spPr>
        <a:ln>
          <a:solidFill>
            <a:schemeClr val="tx2"/>
          </a:solidFill>
        </a:ln>
        <a:effectLst>
          <a:outerShdw blurRad="50800" dist="38100" dir="2700000" algn="tl" rotWithShape="0">
            <a:prstClr val="black">
              <a:alpha val="40000"/>
            </a:prstClr>
          </a:outerShdw>
        </a:effectLst>
      </dgm:spPr>
      <dgm:t>
        <a:bodyPr/>
        <a:lstStyle/>
        <a:p>
          <a:r>
            <a:rPr lang="en-US"/>
            <a:t>Patient-centered measures of health system quality</a:t>
          </a:r>
        </a:p>
      </dgm:t>
    </dgm:pt>
    <dgm:pt modelId="{1AB6E386-D377-4AA1-9604-64BAAFBECD32}" type="parTrans" cxnId="{F2268387-D892-4A43-9275-20C927DB3D1A}">
      <dgm:prSet/>
      <dgm:spPr/>
      <dgm:t>
        <a:bodyPr/>
        <a:lstStyle/>
        <a:p>
          <a:endParaRPr lang="en-US"/>
        </a:p>
      </dgm:t>
    </dgm:pt>
    <dgm:pt modelId="{4CCBB4EC-2A05-48D6-BE58-83DC63B7F0DF}" type="sibTrans" cxnId="{F2268387-D892-4A43-9275-20C927DB3D1A}">
      <dgm:prSet/>
      <dgm:spPr/>
      <dgm:t>
        <a:bodyPr/>
        <a:lstStyle/>
        <a:p>
          <a:endParaRPr lang="en-US"/>
        </a:p>
      </dgm:t>
    </dgm:pt>
    <dgm:pt modelId="{21BB9923-4765-426B-B551-5BCF7E4B3FD1}">
      <dgm:prSet phldrT="[Text]"/>
      <dgm:spPr/>
      <dgm:t>
        <a:bodyPr/>
        <a:lstStyle/>
        <a:p>
          <a:r>
            <a:rPr lang="en-US"/>
            <a:t>Patient's Experience of Care</a:t>
          </a:r>
        </a:p>
      </dgm:t>
    </dgm:pt>
    <dgm:pt modelId="{955B1099-0534-4C43-9597-883FFF80F426}" type="parTrans" cxnId="{C49BA700-A2FB-4BB6-A4D7-6D0A7D4298D4}">
      <dgm:prSet/>
      <dgm:spPr/>
      <dgm:t>
        <a:bodyPr/>
        <a:lstStyle/>
        <a:p>
          <a:endParaRPr lang="en-US"/>
        </a:p>
      </dgm:t>
    </dgm:pt>
    <dgm:pt modelId="{730A1D87-413C-45B0-9451-71BBB935E9EC}" type="sibTrans" cxnId="{C49BA700-A2FB-4BB6-A4D7-6D0A7D4298D4}">
      <dgm:prSet/>
      <dgm:spPr/>
      <dgm:t>
        <a:bodyPr/>
        <a:lstStyle/>
        <a:p>
          <a:endParaRPr lang="en-US"/>
        </a:p>
      </dgm:t>
    </dgm:pt>
    <dgm:pt modelId="{EDA3FD51-D8A6-4EB1-878E-E55FAF4C32DB}">
      <dgm:prSet phldrT="[Text]"/>
      <dgm:spPr/>
      <dgm:t>
        <a:bodyPr/>
        <a:lstStyle/>
        <a:p>
          <a:r>
            <a:rPr lang="en-US"/>
            <a:t>Health Outcomes, Satisfaction with Care</a:t>
          </a:r>
        </a:p>
      </dgm:t>
    </dgm:pt>
    <dgm:pt modelId="{0F03CA5A-806B-4464-84B2-D705F0EA2922}" type="parTrans" cxnId="{C10D2683-A013-4AB3-A4A4-528C6D66D4C1}">
      <dgm:prSet/>
      <dgm:spPr/>
      <dgm:t>
        <a:bodyPr/>
        <a:lstStyle/>
        <a:p>
          <a:endParaRPr lang="en-US"/>
        </a:p>
      </dgm:t>
    </dgm:pt>
    <dgm:pt modelId="{CCA639C0-107F-4D5B-85BE-16ACF7B6FF65}" type="sibTrans" cxnId="{C10D2683-A013-4AB3-A4A4-528C6D66D4C1}">
      <dgm:prSet/>
      <dgm:spPr/>
      <dgm:t>
        <a:bodyPr/>
        <a:lstStyle/>
        <a:p>
          <a:endParaRPr lang="en-US"/>
        </a:p>
      </dgm:t>
    </dgm:pt>
    <dgm:pt modelId="{A08511C4-28C2-45F6-AEE2-30AD0FEB0D2C}">
      <dgm:prSet phldrT="[Text]"/>
      <dgm:spPr/>
      <dgm:t>
        <a:bodyPr/>
        <a:lstStyle/>
        <a:p>
          <a:r>
            <a:rPr lang="en-US"/>
            <a:t>Patient's needs, expectations and values</a:t>
          </a:r>
        </a:p>
      </dgm:t>
    </dgm:pt>
    <dgm:pt modelId="{268F8A07-7725-48F7-8983-AECABEABAC14}" type="parTrans" cxnId="{E4215280-477F-4AF6-8E08-9C48487FE53F}">
      <dgm:prSet/>
      <dgm:spPr/>
      <dgm:t>
        <a:bodyPr/>
        <a:lstStyle/>
        <a:p>
          <a:endParaRPr lang="en-US"/>
        </a:p>
      </dgm:t>
    </dgm:pt>
    <dgm:pt modelId="{80005F09-52EA-48DB-A467-CA529A32F2D8}" type="sibTrans" cxnId="{E4215280-477F-4AF6-8E08-9C48487FE53F}">
      <dgm:prSet/>
      <dgm:spPr/>
      <dgm:t>
        <a:bodyPr/>
        <a:lstStyle/>
        <a:p>
          <a:endParaRPr lang="en-US"/>
        </a:p>
      </dgm:t>
    </dgm:pt>
    <dgm:pt modelId="{658425B5-78C1-4833-84BA-D13A28FAE77D}">
      <dgm:prSet phldrT="[Text]"/>
      <dgm:spPr/>
      <dgm:t>
        <a:bodyPr/>
        <a:lstStyle/>
        <a:p>
          <a:r>
            <a:rPr lang="en-US"/>
            <a:t>Effective Communication</a:t>
          </a:r>
        </a:p>
      </dgm:t>
    </dgm:pt>
    <dgm:pt modelId="{134D3044-8540-47CA-B6BC-B73C628F4513}" type="parTrans" cxnId="{F030F563-2409-4C0A-8C33-7AEE7D493A4E}">
      <dgm:prSet/>
      <dgm:spPr/>
      <dgm:t>
        <a:bodyPr/>
        <a:lstStyle/>
        <a:p>
          <a:endParaRPr lang="en-US"/>
        </a:p>
      </dgm:t>
    </dgm:pt>
    <dgm:pt modelId="{3BAB12E6-C3D9-40F3-9847-A47F9CB2E8E3}" type="sibTrans" cxnId="{F030F563-2409-4C0A-8C33-7AEE7D493A4E}">
      <dgm:prSet/>
      <dgm:spPr/>
      <dgm:t>
        <a:bodyPr/>
        <a:lstStyle/>
        <a:p>
          <a:endParaRPr lang="en-US"/>
        </a:p>
      </dgm:t>
    </dgm:pt>
    <dgm:pt modelId="{273F88A6-CC6A-48A8-845B-B4FA54A3689A}">
      <dgm:prSet phldrT="[Text]"/>
      <dgm:spPr/>
      <dgm:t>
        <a:bodyPr/>
        <a:lstStyle/>
        <a:p>
          <a:r>
            <a:rPr lang="en-US"/>
            <a:t>Respect, Dignity, Emotional Support</a:t>
          </a:r>
        </a:p>
      </dgm:t>
    </dgm:pt>
    <dgm:pt modelId="{2DB24939-0ACE-4A86-AA16-712925AA6EEF}" type="parTrans" cxnId="{F2208B9C-AB75-4F48-BE74-C7C9919608F0}">
      <dgm:prSet/>
      <dgm:spPr/>
      <dgm:t>
        <a:bodyPr/>
        <a:lstStyle/>
        <a:p>
          <a:endParaRPr lang="en-US"/>
        </a:p>
      </dgm:t>
    </dgm:pt>
    <dgm:pt modelId="{EB65B50C-B069-402F-B4C2-2CEDAC2D6972}" type="sibTrans" cxnId="{F2208B9C-AB75-4F48-BE74-C7C9919608F0}">
      <dgm:prSet/>
      <dgm:spPr/>
      <dgm:t>
        <a:bodyPr/>
        <a:lstStyle/>
        <a:p>
          <a:endParaRPr lang="en-US"/>
        </a:p>
      </dgm:t>
    </dgm:pt>
    <dgm:pt modelId="{9160B7C2-6B7E-4CBB-BC6D-FBAF9734D166}">
      <dgm:prSet phldrT="[Text]"/>
      <dgm:spPr/>
      <dgm:t>
        <a:bodyPr/>
        <a:lstStyle/>
        <a:p>
          <a:r>
            <a:rPr lang="en-US"/>
            <a:t>Context of Healthcare System</a:t>
          </a:r>
        </a:p>
      </dgm:t>
    </dgm:pt>
    <dgm:pt modelId="{DA0C63A8-D6D2-4C4E-A5B4-7D4FC10995CB}" type="parTrans" cxnId="{3C30724E-BCA0-4E4D-A13C-FBD4439C121C}">
      <dgm:prSet/>
      <dgm:spPr/>
      <dgm:t>
        <a:bodyPr/>
        <a:lstStyle/>
        <a:p>
          <a:endParaRPr lang="en-US"/>
        </a:p>
      </dgm:t>
    </dgm:pt>
    <dgm:pt modelId="{2D4A5D81-D8C8-4A30-9527-4A34A290464B}" type="sibTrans" cxnId="{3C30724E-BCA0-4E4D-A13C-FBD4439C121C}">
      <dgm:prSet/>
      <dgm:spPr/>
      <dgm:t>
        <a:bodyPr/>
        <a:lstStyle/>
        <a:p>
          <a:endParaRPr lang="en-US"/>
        </a:p>
      </dgm:t>
    </dgm:pt>
    <dgm:pt modelId="{27E5CD9F-9D2D-4495-84D3-72985E7B2BA5}">
      <dgm:prSet phldrT="[Text]"/>
      <dgm:spPr/>
      <dgm:t>
        <a:bodyPr/>
        <a:lstStyle/>
        <a:p>
          <a:r>
            <a:rPr lang="en-US"/>
            <a:t>Facility Characteristics and Type of Service</a:t>
          </a:r>
        </a:p>
      </dgm:t>
    </dgm:pt>
    <dgm:pt modelId="{641F3E5E-432A-43FD-9EA1-02C3417957F8}" type="parTrans" cxnId="{09A70E28-EE09-4D63-B673-DA0E610B8BE5}">
      <dgm:prSet/>
      <dgm:spPr/>
      <dgm:t>
        <a:bodyPr/>
        <a:lstStyle/>
        <a:p>
          <a:endParaRPr lang="en-US"/>
        </a:p>
      </dgm:t>
    </dgm:pt>
    <dgm:pt modelId="{2D22B7A3-C0A1-4510-945B-C4C413291707}" type="sibTrans" cxnId="{09A70E28-EE09-4D63-B673-DA0E610B8BE5}">
      <dgm:prSet/>
      <dgm:spPr/>
      <dgm:t>
        <a:bodyPr/>
        <a:lstStyle/>
        <a:p>
          <a:endParaRPr lang="en-US"/>
        </a:p>
      </dgm:t>
    </dgm:pt>
    <dgm:pt modelId="{D2AD8574-30BF-4238-9E33-C23ACE2CFB45}">
      <dgm:prSet phldrT="[Text]"/>
      <dgm:spPr/>
      <dgm:t>
        <a:bodyPr/>
        <a:lstStyle/>
        <a:p>
          <a:r>
            <a:rPr lang="en-US"/>
            <a:t>Patient Characteristics</a:t>
          </a:r>
        </a:p>
      </dgm:t>
    </dgm:pt>
    <dgm:pt modelId="{B7EFC624-FC2E-4870-B1C0-AF19E58DB176}" type="parTrans" cxnId="{2B4453F2-CA6E-440C-9B2A-AF5AC49E28C6}">
      <dgm:prSet/>
      <dgm:spPr/>
      <dgm:t>
        <a:bodyPr/>
        <a:lstStyle/>
        <a:p>
          <a:endParaRPr lang="en-US"/>
        </a:p>
      </dgm:t>
    </dgm:pt>
    <dgm:pt modelId="{371DAD93-D7F6-464B-9296-019635341653}" type="sibTrans" cxnId="{2B4453F2-CA6E-440C-9B2A-AF5AC49E28C6}">
      <dgm:prSet/>
      <dgm:spPr/>
      <dgm:t>
        <a:bodyPr/>
        <a:lstStyle/>
        <a:p>
          <a:endParaRPr lang="en-US"/>
        </a:p>
      </dgm:t>
    </dgm:pt>
    <dgm:pt modelId="{386A177B-79A3-4037-B92F-23CEA0325EBE}" type="pres">
      <dgm:prSet presAssocID="{59309D9F-570B-4061-9E58-F590650E2D94}" presName="Name0" presStyleCnt="0">
        <dgm:presLayoutVars>
          <dgm:chMax val="3"/>
          <dgm:chPref val="1"/>
          <dgm:dir/>
          <dgm:animLvl val="lvl"/>
          <dgm:resizeHandles/>
        </dgm:presLayoutVars>
      </dgm:prSet>
      <dgm:spPr/>
    </dgm:pt>
    <dgm:pt modelId="{ECCA38F4-6E71-4F7D-BC0F-1839FC3FB350}" type="pres">
      <dgm:prSet presAssocID="{59309D9F-570B-4061-9E58-F590650E2D94}" presName="outerBox" presStyleCnt="0"/>
      <dgm:spPr/>
    </dgm:pt>
    <dgm:pt modelId="{9EB399B4-3B9D-421C-A741-346A38B4E77F}" type="pres">
      <dgm:prSet presAssocID="{59309D9F-570B-4061-9E58-F590650E2D94}" presName="outerBoxParent" presStyleLbl="node1" presStyleIdx="0" presStyleCnt="3"/>
      <dgm:spPr/>
    </dgm:pt>
    <dgm:pt modelId="{ECEE8FAA-49DF-427D-86F0-91B7CE78C8EE}" type="pres">
      <dgm:prSet presAssocID="{59309D9F-570B-4061-9E58-F590650E2D94}" presName="outerBoxChildren" presStyleCnt="0"/>
      <dgm:spPr/>
    </dgm:pt>
    <dgm:pt modelId="{C73E5F3D-91D5-42E5-B544-20E593B8F1A7}" type="pres">
      <dgm:prSet presAssocID="{21BB9923-4765-426B-B551-5BCF7E4B3FD1}" presName="oChild" presStyleLbl="fgAcc1" presStyleIdx="0" presStyleCnt="6">
        <dgm:presLayoutVars>
          <dgm:bulletEnabled val="1"/>
        </dgm:presLayoutVars>
      </dgm:prSet>
      <dgm:spPr/>
    </dgm:pt>
    <dgm:pt modelId="{06A4CFCB-A9AD-43E9-8CFA-6F6B88B2C5CA}" type="pres">
      <dgm:prSet presAssocID="{730A1D87-413C-45B0-9451-71BBB935E9EC}" presName="outerSibTrans" presStyleCnt="0"/>
      <dgm:spPr/>
    </dgm:pt>
    <dgm:pt modelId="{2EEC8F06-1C72-4380-8304-1BBB363ED1DD}" type="pres">
      <dgm:prSet presAssocID="{EDA3FD51-D8A6-4EB1-878E-E55FAF4C32DB}" presName="oChild" presStyleLbl="fgAcc1" presStyleIdx="1" presStyleCnt="6">
        <dgm:presLayoutVars>
          <dgm:bulletEnabled val="1"/>
        </dgm:presLayoutVars>
      </dgm:prSet>
      <dgm:spPr/>
    </dgm:pt>
    <dgm:pt modelId="{63B52846-0138-45FE-8504-D2378B7E78FE}" type="pres">
      <dgm:prSet presAssocID="{59309D9F-570B-4061-9E58-F590650E2D94}" presName="middleBox" presStyleCnt="0"/>
      <dgm:spPr/>
    </dgm:pt>
    <dgm:pt modelId="{90A6DEE3-D3D5-4739-910C-5D7E80A46032}" type="pres">
      <dgm:prSet presAssocID="{59309D9F-570B-4061-9E58-F590650E2D94}" presName="middleBoxParent" presStyleLbl="node1" presStyleIdx="1" presStyleCnt="3"/>
      <dgm:spPr/>
    </dgm:pt>
    <dgm:pt modelId="{EECF482B-B1F4-457F-B96C-6CEE2DB44868}" type="pres">
      <dgm:prSet presAssocID="{59309D9F-570B-4061-9E58-F590650E2D94}" presName="middleBoxChildren" presStyleCnt="0"/>
      <dgm:spPr/>
    </dgm:pt>
    <dgm:pt modelId="{57AB24DF-9DCD-4B88-98F1-4AF870F12E02}" type="pres">
      <dgm:prSet presAssocID="{658425B5-78C1-4833-84BA-D13A28FAE77D}" presName="mChild" presStyleLbl="fgAcc1" presStyleIdx="2" presStyleCnt="6">
        <dgm:presLayoutVars>
          <dgm:bulletEnabled val="1"/>
        </dgm:presLayoutVars>
      </dgm:prSet>
      <dgm:spPr/>
    </dgm:pt>
    <dgm:pt modelId="{C8C43C62-A6BC-4A0A-A287-B27C66951A95}" type="pres">
      <dgm:prSet presAssocID="{3BAB12E6-C3D9-40F3-9847-A47F9CB2E8E3}" presName="middleSibTrans" presStyleCnt="0"/>
      <dgm:spPr/>
    </dgm:pt>
    <dgm:pt modelId="{4ED1A0F8-83DD-47CB-A136-026E321CB706}" type="pres">
      <dgm:prSet presAssocID="{273F88A6-CC6A-48A8-845B-B4FA54A3689A}" presName="mChild" presStyleLbl="fgAcc1" presStyleIdx="3" presStyleCnt="6">
        <dgm:presLayoutVars>
          <dgm:bulletEnabled val="1"/>
        </dgm:presLayoutVars>
      </dgm:prSet>
      <dgm:spPr/>
    </dgm:pt>
    <dgm:pt modelId="{9CB12C10-0928-41B6-BF4C-98876DE81190}" type="pres">
      <dgm:prSet presAssocID="{59309D9F-570B-4061-9E58-F590650E2D94}" presName="centerBox" presStyleCnt="0"/>
      <dgm:spPr/>
    </dgm:pt>
    <dgm:pt modelId="{7EBD06B6-96FC-4C71-BBFD-C82A73A6D2CA}" type="pres">
      <dgm:prSet presAssocID="{59309D9F-570B-4061-9E58-F590650E2D94}" presName="centerBoxParent" presStyleLbl="node1" presStyleIdx="2" presStyleCnt="3"/>
      <dgm:spPr/>
    </dgm:pt>
    <dgm:pt modelId="{27B48611-1151-484E-9591-ABB2CA8A0D7F}" type="pres">
      <dgm:prSet presAssocID="{59309D9F-570B-4061-9E58-F590650E2D94}" presName="centerBoxChildren" presStyleCnt="0"/>
      <dgm:spPr/>
    </dgm:pt>
    <dgm:pt modelId="{2351E0F9-828B-4C50-954F-7318CFD10C6C}" type="pres">
      <dgm:prSet presAssocID="{27E5CD9F-9D2D-4495-84D3-72985E7B2BA5}" presName="cChild" presStyleLbl="fgAcc1" presStyleIdx="4" presStyleCnt="6">
        <dgm:presLayoutVars>
          <dgm:bulletEnabled val="1"/>
        </dgm:presLayoutVars>
      </dgm:prSet>
      <dgm:spPr/>
    </dgm:pt>
    <dgm:pt modelId="{27E2D66B-4195-47E8-A280-089CB68B0C16}" type="pres">
      <dgm:prSet presAssocID="{2D22B7A3-C0A1-4510-945B-C4C413291707}" presName="centerSibTrans" presStyleCnt="0"/>
      <dgm:spPr/>
    </dgm:pt>
    <dgm:pt modelId="{120D9653-4D76-4703-A129-C8D320C212C8}" type="pres">
      <dgm:prSet presAssocID="{D2AD8574-30BF-4238-9E33-C23ACE2CFB45}" presName="cChild" presStyleLbl="fgAcc1" presStyleIdx="5" presStyleCnt="6">
        <dgm:presLayoutVars>
          <dgm:bulletEnabled val="1"/>
        </dgm:presLayoutVars>
      </dgm:prSet>
      <dgm:spPr/>
    </dgm:pt>
  </dgm:ptLst>
  <dgm:cxnLst>
    <dgm:cxn modelId="{C49BA700-A2FB-4BB6-A4D7-6D0A7D4298D4}" srcId="{8F1A5E9F-5852-4F92-A360-B384CF260F6F}" destId="{21BB9923-4765-426B-B551-5BCF7E4B3FD1}" srcOrd="0" destOrd="0" parTransId="{955B1099-0534-4C43-9597-883FFF80F426}" sibTransId="{730A1D87-413C-45B0-9451-71BBB935E9EC}"/>
    <dgm:cxn modelId="{25646708-042F-4D8B-9360-BB303082C333}" type="presOf" srcId="{9160B7C2-6B7E-4CBB-BC6D-FBAF9734D166}" destId="{7EBD06B6-96FC-4C71-BBFD-C82A73A6D2CA}" srcOrd="0" destOrd="0" presId="urn:microsoft.com/office/officeart/2005/8/layout/target2"/>
    <dgm:cxn modelId="{C9CB8E17-F7E6-45A2-BA65-0B15BFDED3E1}" type="presOf" srcId="{EDA3FD51-D8A6-4EB1-878E-E55FAF4C32DB}" destId="{2EEC8F06-1C72-4380-8304-1BBB363ED1DD}" srcOrd="0" destOrd="0" presId="urn:microsoft.com/office/officeart/2005/8/layout/target2"/>
    <dgm:cxn modelId="{09A70E28-EE09-4D63-B673-DA0E610B8BE5}" srcId="{9160B7C2-6B7E-4CBB-BC6D-FBAF9734D166}" destId="{27E5CD9F-9D2D-4495-84D3-72985E7B2BA5}" srcOrd="0" destOrd="0" parTransId="{641F3E5E-432A-43FD-9EA1-02C3417957F8}" sibTransId="{2D22B7A3-C0A1-4510-945B-C4C413291707}"/>
    <dgm:cxn modelId="{B69A5139-B4C1-46D0-9898-F85D7FCB1C7B}" type="presOf" srcId="{D2AD8574-30BF-4238-9E33-C23ACE2CFB45}" destId="{120D9653-4D76-4703-A129-C8D320C212C8}" srcOrd="0" destOrd="0" presId="urn:microsoft.com/office/officeart/2005/8/layout/target2"/>
    <dgm:cxn modelId="{F030F563-2409-4C0A-8C33-7AEE7D493A4E}" srcId="{A08511C4-28C2-45F6-AEE2-30AD0FEB0D2C}" destId="{658425B5-78C1-4833-84BA-D13A28FAE77D}" srcOrd="0" destOrd="0" parTransId="{134D3044-8540-47CA-B6BC-B73C628F4513}" sibTransId="{3BAB12E6-C3D9-40F3-9847-A47F9CB2E8E3}"/>
    <dgm:cxn modelId="{6AB6034A-D88D-42C5-BE22-BD33CC56B776}" type="presOf" srcId="{21BB9923-4765-426B-B551-5BCF7E4B3FD1}" destId="{C73E5F3D-91D5-42E5-B544-20E593B8F1A7}" srcOrd="0" destOrd="0" presId="urn:microsoft.com/office/officeart/2005/8/layout/target2"/>
    <dgm:cxn modelId="{3C30724E-BCA0-4E4D-A13C-FBD4439C121C}" srcId="{59309D9F-570B-4061-9E58-F590650E2D94}" destId="{9160B7C2-6B7E-4CBB-BC6D-FBAF9734D166}" srcOrd="2" destOrd="0" parTransId="{DA0C63A8-D6D2-4C4E-A5B4-7D4FC10995CB}" sibTransId="{2D4A5D81-D8C8-4A30-9527-4A34A290464B}"/>
    <dgm:cxn modelId="{A161D850-9B49-492D-80FA-78A591F71999}" type="presOf" srcId="{27E5CD9F-9D2D-4495-84D3-72985E7B2BA5}" destId="{2351E0F9-828B-4C50-954F-7318CFD10C6C}" srcOrd="0" destOrd="0" presId="urn:microsoft.com/office/officeart/2005/8/layout/target2"/>
    <dgm:cxn modelId="{E4215280-477F-4AF6-8E08-9C48487FE53F}" srcId="{59309D9F-570B-4061-9E58-F590650E2D94}" destId="{A08511C4-28C2-45F6-AEE2-30AD0FEB0D2C}" srcOrd="1" destOrd="0" parTransId="{268F8A07-7725-48F7-8983-AECABEABAC14}" sibTransId="{80005F09-52EA-48DB-A467-CA529A32F2D8}"/>
    <dgm:cxn modelId="{C10D2683-A013-4AB3-A4A4-528C6D66D4C1}" srcId="{8F1A5E9F-5852-4F92-A360-B384CF260F6F}" destId="{EDA3FD51-D8A6-4EB1-878E-E55FAF4C32DB}" srcOrd="1" destOrd="0" parTransId="{0F03CA5A-806B-4464-84B2-D705F0EA2922}" sibTransId="{CCA639C0-107F-4D5B-85BE-16ACF7B6FF65}"/>
    <dgm:cxn modelId="{F2268387-D892-4A43-9275-20C927DB3D1A}" srcId="{59309D9F-570B-4061-9E58-F590650E2D94}" destId="{8F1A5E9F-5852-4F92-A360-B384CF260F6F}" srcOrd="0" destOrd="0" parTransId="{1AB6E386-D377-4AA1-9604-64BAAFBECD32}" sibTransId="{4CCBB4EC-2A05-48D6-BE58-83DC63B7F0DF}"/>
    <dgm:cxn modelId="{F2208B9C-AB75-4F48-BE74-C7C9919608F0}" srcId="{A08511C4-28C2-45F6-AEE2-30AD0FEB0D2C}" destId="{273F88A6-CC6A-48A8-845B-B4FA54A3689A}" srcOrd="1" destOrd="0" parTransId="{2DB24939-0ACE-4A86-AA16-712925AA6EEF}" sibTransId="{EB65B50C-B069-402F-B4C2-2CEDAC2D6972}"/>
    <dgm:cxn modelId="{68D32CC1-0492-488C-8F41-D597877E8378}" type="presOf" srcId="{8F1A5E9F-5852-4F92-A360-B384CF260F6F}" destId="{9EB399B4-3B9D-421C-A741-346A38B4E77F}" srcOrd="0" destOrd="0" presId="urn:microsoft.com/office/officeart/2005/8/layout/target2"/>
    <dgm:cxn modelId="{E64243CD-8113-4711-A7AA-FEFD6AE366ED}" type="presOf" srcId="{273F88A6-CC6A-48A8-845B-B4FA54A3689A}" destId="{4ED1A0F8-83DD-47CB-A136-026E321CB706}" srcOrd="0" destOrd="0" presId="urn:microsoft.com/office/officeart/2005/8/layout/target2"/>
    <dgm:cxn modelId="{B2C263D8-1927-45F0-B74D-57F5AD1D6B99}" type="presOf" srcId="{658425B5-78C1-4833-84BA-D13A28FAE77D}" destId="{57AB24DF-9DCD-4B88-98F1-4AF870F12E02}" srcOrd="0" destOrd="0" presId="urn:microsoft.com/office/officeart/2005/8/layout/target2"/>
    <dgm:cxn modelId="{6CC7E2DC-C62A-4A8E-BC91-794224F1904D}" type="presOf" srcId="{A08511C4-28C2-45F6-AEE2-30AD0FEB0D2C}" destId="{90A6DEE3-D3D5-4739-910C-5D7E80A46032}" srcOrd="0" destOrd="0" presId="urn:microsoft.com/office/officeart/2005/8/layout/target2"/>
    <dgm:cxn modelId="{2B4453F2-CA6E-440C-9B2A-AF5AC49E28C6}" srcId="{9160B7C2-6B7E-4CBB-BC6D-FBAF9734D166}" destId="{D2AD8574-30BF-4238-9E33-C23ACE2CFB45}" srcOrd="1" destOrd="0" parTransId="{B7EFC624-FC2E-4870-B1C0-AF19E58DB176}" sibTransId="{371DAD93-D7F6-464B-9296-019635341653}"/>
    <dgm:cxn modelId="{F89D24F7-6F4C-461D-A39C-F15E460C8779}" type="presOf" srcId="{59309D9F-570B-4061-9E58-F590650E2D94}" destId="{386A177B-79A3-4037-B92F-23CEA0325EBE}" srcOrd="0" destOrd="0" presId="urn:microsoft.com/office/officeart/2005/8/layout/target2"/>
    <dgm:cxn modelId="{98A46543-BB40-4445-8A47-8B08011F18F9}" type="presParOf" srcId="{386A177B-79A3-4037-B92F-23CEA0325EBE}" destId="{ECCA38F4-6E71-4F7D-BC0F-1839FC3FB350}" srcOrd="0" destOrd="0" presId="urn:microsoft.com/office/officeart/2005/8/layout/target2"/>
    <dgm:cxn modelId="{85D3EDBA-6807-4C3F-B7F2-C1BFD7DDA4DE}" type="presParOf" srcId="{ECCA38F4-6E71-4F7D-BC0F-1839FC3FB350}" destId="{9EB399B4-3B9D-421C-A741-346A38B4E77F}" srcOrd="0" destOrd="0" presId="urn:microsoft.com/office/officeart/2005/8/layout/target2"/>
    <dgm:cxn modelId="{B0272F51-0D9C-439B-AE4A-A4B7CEDAB394}" type="presParOf" srcId="{ECCA38F4-6E71-4F7D-BC0F-1839FC3FB350}" destId="{ECEE8FAA-49DF-427D-86F0-91B7CE78C8EE}" srcOrd="1" destOrd="0" presId="urn:microsoft.com/office/officeart/2005/8/layout/target2"/>
    <dgm:cxn modelId="{7436D530-D90D-4498-B905-93204447676C}" type="presParOf" srcId="{ECEE8FAA-49DF-427D-86F0-91B7CE78C8EE}" destId="{C73E5F3D-91D5-42E5-B544-20E593B8F1A7}" srcOrd="0" destOrd="0" presId="urn:microsoft.com/office/officeart/2005/8/layout/target2"/>
    <dgm:cxn modelId="{DE538DDB-509B-4A0C-877C-51346FEFF7FF}" type="presParOf" srcId="{ECEE8FAA-49DF-427D-86F0-91B7CE78C8EE}" destId="{06A4CFCB-A9AD-43E9-8CFA-6F6B88B2C5CA}" srcOrd="1" destOrd="0" presId="urn:microsoft.com/office/officeart/2005/8/layout/target2"/>
    <dgm:cxn modelId="{CFBCE881-B896-43F0-9A06-9345E6F4D139}" type="presParOf" srcId="{ECEE8FAA-49DF-427D-86F0-91B7CE78C8EE}" destId="{2EEC8F06-1C72-4380-8304-1BBB363ED1DD}" srcOrd="2" destOrd="0" presId="urn:microsoft.com/office/officeart/2005/8/layout/target2"/>
    <dgm:cxn modelId="{2BFAF94F-99DE-4F2C-B8AF-625CC20346A7}" type="presParOf" srcId="{386A177B-79A3-4037-B92F-23CEA0325EBE}" destId="{63B52846-0138-45FE-8504-D2378B7E78FE}" srcOrd="1" destOrd="0" presId="urn:microsoft.com/office/officeart/2005/8/layout/target2"/>
    <dgm:cxn modelId="{F6CE53CB-CD5D-4A37-9485-6763C1475B0A}" type="presParOf" srcId="{63B52846-0138-45FE-8504-D2378B7E78FE}" destId="{90A6DEE3-D3D5-4739-910C-5D7E80A46032}" srcOrd="0" destOrd="0" presId="urn:microsoft.com/office/officeart/2005/8/layout/target2"/>
    <dgm:cxn modelId="{D770CE2B-55BA-4762-88C1-88EFA73341B5}" type="presParOf" srcId="{63B52846-0138-45FE-8504-D2378B7E78FE}" destId="{EECF482B-B1F4-457F-B96C-6CEE2DB44868}" srcOrd="1" destOrd="0" presId="urn:microsoft.com/office/officeart/2005/8/layout/target2"/>
    <dgm:cxn modelId="{346FB9CC-8948-427B-AA78-AD1EB5D7F370}" type="presParOf" srcId="{EECF482B-B1F4-457F-B96C-6CEE2DB44868}" destId="{57AB24DF-9DCD-4B88-98F1-4AF870F12E02}" srcOrd="0" destOrd="0" presId="urn:microsoft.com/office/officeart/2005/8/layout/target2"/>
    <dgm:cxn modelId="{0D352FEF-4066-421C-9216-F73BB3DCD1EC}" type="presParOf" srcId="{EECF482B-B1F4-457F-B96C-6CEE2DB44868}" destId="{C8C43C62-A6BC-4A0A-A287-B27C66951A95}" srcOrd="1" destOrd="0" presId="urn:microsoft.com/office/officeart/2005/8/layout/target2"/>
    <dgm:cxn modelId="{9E71225A-4170-4AA7-834E-528DC2D2E820}" type="presParOf" srcId="{EECF482B-B1F4-457F-B96C-6CEE2DB44868}" destId="{4ED1A0F8-83DD-47CB-A136-026E321CB706}" srcOrd="2" destOrd="0" presId="urn:microsoft.com/office/officeart/2005/8/layout/target2"/>
    <dgm:cxn modelId="{04B04F4B-1F83-4149-AE3C-50E7D918D20D}" type="presParOf" srcId="{386A177B-79A3-4037-B92F-23CEA0325EBE}" destId="{9CB12C10-0928-41B6-BF4C-98876DE81190}" srcOrd="2" destOrd="0" presId="urn:microsoft.com/office/officeart/2005/8/layout/target2"/>
    <dgm:cxn modelId="{6379EE75-EC43-4B42-BBAF-99251154AE27}" type="presParOf" srcId="{9CB12C10-0928-41B6-BF4C-98876DE81190}" destId="{7EBD06B6-96FC-4C71-BBFD-C82A73A6D2CA}" srcOrd="0" destOrd="0" presId="urn:microsoft.com/office/officeart/2005/8/layout/target2"/>
    <dgm:cxn modelId="{9EDE8AF3-24EA-4654-8109-733D8D7A6422}" type="presParOf" srcId="{9CB12C10-0928-41B6-BF4C-98876DE81190}" destId="{27B48611-1151-484E-9591-ABB2CA8A0D7F}" srcOrd="1" destOrd="0" presId="urn:microsoft.com/office/officeart/2005/8/layout/target2"/>
    <dgm:cxn modelId="{1BAA96A0-1B82-444E-8AD6-E98B6EA36BE5}" type="presParOf" srcId="{27B48611-1151-484E-9591-ABB2CA8A0D7F}" destId="{2351E0F9-828B-4C50-954F-7318CFD10C6C}" srcOrd="0" destOrd="0" presId="urn:microsoft.com/office/officeart/2005/8/layout/target2"/>
    <dgm:cxn modelId="{6CE8BEA2-DB16-4F69-BF60-23F713533802}" type="presParOf" srcId="{27B48611-1151-484E-9591-ABB2CA8A0D7F}" destId="{27E2D66B-4195-47E8-A280-089CB68B0C16}" srcOrd="1" destOrd="0" presId="urn:microsoft.com/office/officeart/2005/8/layout/target2"/>
    <dgm:cxn modelId="{C39E9F8B-6218-4899-A108-C9BAB21A7053}" type="presParOf" srcId="{27B48611-1151-484E-9591-ABB2CA8A0D7F}" destId="{120D9653-4D76-4703-A129-C8D320C212C8}" srcOrd="2" destOrd="0" presId="urn:microsoft.com/office/officeart/2005/8/layout/targe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A7D3B2D-C62E-4B6C-A9B2-75F854D00267}" type="doc">
      <dgm:prSet loTypeId="urn:microsoft.com/office/officeart/2011/layout/HexagonRadial" loCatId="cycle" qsTypeId="urn:microsoft.com/office/officeart/2005/8/quickstyle/simple5" qsCatId="simple" csTypeId="urn:microsoft.com/office/officeart/2005/8/colors/accent2_2" csCatId="accent2" phldr="1"/>
      <dgm:spPr/>
      <dgm:t>
        <a:bodyPr/>
        <a:lstStyle/>
        <a:p>
          <a:endParaRPr lang="en-US"/>
        </a:p>
      </dgm:t>
    </dgm:pt>
    <dgm:pt modelId="{AD0CFAE0-607D-4F35-A558-7DC13CA9E935}">
      <dgm:prSet phldrT="[Text]" custT="1"/>
      <dgm:spPr/>
      <dgm:t>
        <a:bodyPr/>
        <a:lstStyle/>
        <a:p>
          <a:r>
            <a:rPr lang="en-US" sz="1050" b="1"/>
            <a:t>Implementation of Health Information Technology</a:t>
          </a:r>
        </a:p>
      </dgm:t>
    </dgm:pt>
    <dgm:pt modelId="{55717DFF-5489-4772-AA0C-DB5E3FF3D2FF}" type="parTrans" cxnId="{8DA3175C-9668-46F5-B4C2-E637DBA6D8CC}">
      <dgm:prSet/>
      <dgm:spPr/>
      <dgm:t>
        <a:bodyPr/>
        <a:lstStyle/>
        <a:p>
          <a:endParaRPr lang="en-US"/>
        </a:p>
      </dgm:t>
    </dgm:pt>
    <dgm:pt modelId="{EECC2321-3F63-4E8B-8D4A-7D9086952F08}" type="sibTrans" cxnId="{8DA3175C-9668-46F5-B4C2-E637DBA6D8CC}">
      <dgm:prSet/>
      <dgm:spPr/>
      <dgm:t>
        <a:bodyPr/>
        <a:lstStyle/>
        <a:p>
          <a:endParaRPr lang="en-US"/>
        </a:p>
      </dgm:t>
    </dgm:pt>
    <dgm:pt modelId="{4203EA83-803F-400D-9242-B4903802018D}">
      <dgm:prSet phldrT="[Text]"/>
      <dgm:spPr/>
      <dgm:t>
        <a:bodyPr/>
        <a:lstStyle/>
        <a:p>
          <a:r>
            <a:rPr lang="en-US"/>
            <a:t>Increased effectiveness and efficiecny of care</a:t>
          </a:r>
        </a:p>
      </dgm:t>
    </dgm:pt>
    <dgm:pt modelId="{4A972DE7-5518-45D0-9617-F800232DE1CD}" type="parTrans" cxnId="{7039E6C9-D21B-4409-994A-40176CF3EC64}">
      <dgm:prSet/>
      <dgm:spPr/>
      <dgm:t>
        <a:bodyPr/>
        <a:lstStyle/>
        <a:p>
          <a:endParaRPr lang="en-US"/>
        </a:p>
      </dgm:t>
    </dgm:pt>
    <dgm:pt modelId="{77A6F047-F7F2-4672-8856-5128CE55FD17}" type="sibTrans" cxnId="{7039E6C9-D21B-4409-994A-40176CF3EC64}">
      <dgm:prSet/>
      <dgm:spPr/>
      <dgm:t>
        <a:bodyPr/>
        <a:lstStyle/>
        <a:p>
          <a:endParaRPr lang="en-US"/>
        </a:p>
      </dgm:t>
    </dgm:pt>
    <dgm:pt modelId="{392CAD14-2734-48DB-A403-F54DBC5D10EF}">
      <dgm:prSet phldrT="[Text]"/>
      <dgm:spPr/>
      <dgm:t>
        <a:bodyPr/>
        <a:lstStyle/>
        <a:p>
          <a:r>
            <a:rPr lang="en-US"/>
            <a:t>Reduction in prescribing errors, easy prescriptions</a:t>
          </a:r>
        </a:p>
      </dgm:t>
    </dgm:pt>
    <dgm:pt modelId="{0D188FC2-4552-481E-AA8A-B2E80ABC6E68}" type="parTrans" cxnId="{FECFD278-6E31-490C-B5D3-51347C32CBAF}">
      <dgm:prSet/>
      <dgm:spPr/>
      <dgm:t>
        <a:bodyPr/>
        <a:lstStyle/>
        <a:p>
          <a:endParaRPr lang="en-US"/>
        </a:p>
      </dgm:t>
    </dgm:pt>
    <dgm:pt modelId="{DB57AEDB-90F8-4EEF-A49A-331BC5579E3B}" type="sibTrans" cxnId="{FECFD278-6E31-490C-B5D3-51347C32CBAF}">
      <dgm:prSet/>
      <dgm:spPr/>
      <dgm:t>
        <a:bodyPr/>
        <a:lstStyle/>
        <a:p>
          <a:endParaRPr lang="en-US"/>
        </a:p>
      </dgm:t>
    </dgm:pt>
    <dgm:pt modelId="{D119DEBC-0A0F-4B26-AA52-98CBF97CF242}">
      <dgm:prSet phldrT="[Text]"/>
      <dgm:spPr/>
      <dgm:t>
        <a:bodyPr/>
        <a:lstStyle/>
        <a:p>
          <a:r>
            <a:rPr lang="en-US"/>
            <a:t>Increased patient safety, reduction in medical errors</a:t>
          </a:r>
        </a:p>
      </dgm:t>
    </dgm:pt>
    <dgm:pt modelId="{A195B22B-D9F9-487A-BD12-DC16940E967B}" type="parTrans" cxnId="{00052251-D3C3-4164-AA00-52FB2F9633A0}">
      <dgm:prSet/>
      <dgm:spPr/>
      <dgm:t>
        <a:bodyPr/>
        <a:lstStyle/>
        <a:p>
          <a:endParaRPr lang="en-US"/>
        </a:p>
      </dgm:t>
    </dgm:pt>
    <dgm:pt modelId="{D1D84315-518E-4ABF-B519-1657451E67F0}" type="sibTrans" cxnId="{00052251-D3C3-4164-AA00-52FB2F9633A0}">
      <dgm:prSet/>
      <dgm:spPr/>
      <dgm:t>
        <a:bodyPr/>
        <a:lstStyle/>
        <a:p>
          <a:endParaRPr lang="en-US"/>
        </a:p>
      </dgm:t>
    </dgm:pt>
    <dgm:pt modelId="{EC0DED14-5B90-4EB1-84E6-7B2D9D8067F0}">
      <dgm:prSet phldrT="[Text]"/>
      <dgm:spPr/>
      <dgm:t>
        <a:bodyPr/>
        <a:lstStyle/>
        <a:p>
          <a:r>
            <a:rPr lang="en-US"/>
            <a:t>Increased patient satisfaction</a:t>
          </a:r>
        </a:p>
      </dgm:t>
    </dgm:pt>
    <dgm:pt modelId="{D9B42201-498A-44ED-9D90-CF70587185AF}" type="parTrans" cxnId="{737F04E5-BDF8-451C-B942-DBC31D707639}">
      <dgm:prSet/>
      <dgm:spPr/>
      <dgm:t>
        <a:bodyPr/>
        <a:lstStyle/>
        <a:p>
          <a:endParaRPr lang="en-US"/>
        </a:p>
      </dgm:t>
    </dgm:pt>
    <dgm:pt modelId="{FB4C195A-E344-4158-80CF-3DEDC4C63090}" type="sibTrans" cxnId="{737F04E5-BDF8-451C-B942-DBC31D707639}">
      <dgm:prSet/>
      <dgm:spPr/>
      <dgm:t>
        <a:bodyPr/>
        <a:lstStyle/>
        <a:p>
          <a:endParaRPr lang="en-US"/>
        </a:p>
      </dgm:t>
    </dgm:pt>
    <dgm:pt modelId="{9CF58DF7-96E2-45FA-93C3-0F027F3F8D79}">
      <dgm:prSet phldrT="[Text]"/>
      <dgm:spPr/>
      <dgm:t>
        <a:bodyPr/>
        <a:lstStyle/>
        <a:p>
          <a:r>
            <a:rPr lang="en-US"/>
            <a:t>Improved care processes</a:t>
          </a:r>
        </a:p>
      </dgm:t>
    </dgm:pt>
    <dgm:pt modelId="{BFBD5580-F174-4A9E-9A59-0E6C585417E2}" type="parTrans" cxnId="{C2B236E2-AF8E-4938-9829-CF11C1DEC77E}">
      <dgm:prSet/>
      <dgm:spPr/>
      <dgm:t>
        <a:bodyPr/>
        <a:lstStyle/>
        <a:p>
          <a:endParaRPr lang="en-US"/>
        </a:p>
      </dgm:t>
    </dgm:pt>
    <dgm:pt modelId="{18132F1E-C0ED-49C5-97FA-DAE6A4BB6229}" type="sibTrans" cxnId="{C2B236E2-AF8E-4938-9829-CF11C1DEC77E}">
      <dgm:prSet/>
      <dgm:spPr/>
      <dgm:t>
        <a:bodyPr/>
        <a:lstStyle/>
        <a:p>
          <a:endParaRPr lang="en-US"/>
        </a:p>
      </dgm:t>
    </dgm:pt>
    <dgm:pt modelId="{15C578E3-5A6C-4159-8D15-839EA93A2ED5}">
      <dgm:prSet phldrT="[Text]"/>
      <dgm:spPr/>
      <dgm:t>
        <a:bodyPr/>
        <a:lstStyle/>
        <a:p>
          <a:r>
            <a:rPr lang="en-US"/>
            <a:t>Improved access to care and preventative care</a:t>
          </a:r>
        </a:p>
      </dgm:t>
    </dgm:pt>
    <dgm:pt modelId="{81F31B97-7C3F-4339-B1AA-35DDD344843A}" type="parTrans" cxnId="{728CA655-0CF0-434F-B9DD-166153A0FAA2}">
      <dgm:prSet/>
      <dgm:spPr/>
      <dgm:t>
        <a:bodyPr/>
        <a:lstStyle/>
        <a:p>
          <a:endParaRPr lang="en-US"/>
        </a:p>
      </dgm:t>
    </dgm:pt>
    <dgm:pt modelId="{B30D4AE1-ABED-4B0C-B468-2164B951C3BB}" type="sibTrans" cxnId="{728CA655-0CF0-434F-B9DD-166153A0FAA2}">
      <dgm:prSet/>
      <dgm:spPr/>
      <dgm:t>
        <a:bodyPr/>
        <a:lstStyle/>
        <a:p>
          <a:endParaRPr lang="en-US"/>
        </a:p>
      </dgm:t>
    </dgm:pt>
    <dgm:pt modelId="{E36A7A45-635B-40C2-9E9F-17C3A8D4C3AF}" type="pres">
      <dgm:prSet presAssocID="{1A7D3B2D-C62E-4B6C-A9B2-75F854D00267}" presName="Name0" presStyleCnt="0">
        <dgm:presLayoutVars>
          <dgm:chMax val="1"/>
          <dgm:chPref val="1"/>
          <dgm:dir/>
          <dgm:animOne val="branch"/>
          <dgm:animLvl val="lvl"/>
        </dgm:presLayoutVars>
      </dgm:prSet>
      <dgm:spPr/>
    </dgm:pt>
    <dgm:pt modelId="{B7AF12D9-90E9-4A88-93D0-12B73497A4E0}" type="pres">
      <dgm:prSet presAssocID="{AD0CFAE0-607D-4F35-A558-7DC13CA9E935}" presName="Parent" presStyleLbl="node0" presStyleIdx="0" presStyleCnt="1">
        <dgm:presLayoutVars>
          <dgm:chMax val="6"/>
          <dgm:chPref val="6"/>
        </dgm:presLayoutVars>
      </dgm:prSet>
      <dgm:spPr/>
    </dgm:pt>
    <dgm:pt modelId="{75A0759A-8A57-4CA5-9ECB-906A5C9C67EB}" type="pres">
      <dgm:prSet presAssocID="{4203EA83-803F-400D-9242-B4903802018D}" presName="Accent1" presStyleCnt="0"/>
      <dgm:spPr/>
    </dgm:pt>
    <dgm:pt modelId="{D1F343A4-DC7C-4915-AE3B-07CF2F951E9C}" type="pres">
      <dgm:prSet presAssocID="{4203EA83-803F-400D-9242-B4903802018D}" presName="Accent" presStyleLbl="bgShp" presStyleIdx="0" presStyleCnt="6"/>
      <dgm:spPr/>
    </dgm:pt>
    <dgm:pt modelId="{571DBBDE-2D2B-47D0-8609-96780D76415A}" type="pres">
      <dgm:prSet presAssocID="{4203EA83-803F-400D-9242-B4903802018D}" presName="Child1" presStyleLbl="node1" presStyleIdx="0" presStyleCnt="6">
        <dgm:presLayoutVars>
          <dgm:chMax val="0"/>
          <dgm:chPref val="0"/>
          <dgm:bulletEnabled val="1"/>
        </dgm:presLayoutVars>
      </dgm:prSet>
      <dgm:spPr/>
    </dgm:pt>
    <dgm:pt modelId="{A7EA3DCF-FF5D-495B-ACC1-C44BFE39C205}" type="pres">
      <dgm:prSet presAssocID="{392CAD14-2734-48DB-A403-F54DBC5D10EF}" presName="Accent2" presStyleCnt="0"/>
      <dgm:spPr/>
    </dgm:pt>
    <dgm:pt modelId="{DEB99D9B-C8AF-4083-8B0E-D92640F341CF}" type="pres">
      <dgm:prSet presAssocID="{392CAD14-2734-48DB-A403-F54DBC5D10EF}" presName="Accent" presStyleLbl="bgShp" presStyleIdx="1" presStyleCnt="6"/>
      <dgm:spPr/>
    </dgm:pt>
    <dgm:pt modelId="{44E3C31A-D99D-4926-AEA6-A8A8C4C9A4CA}" type="pres">
      <dgm:prSet presAssocID="{392CAD14-2734-48DB-A403-F54DBC5D10EF}" presName="Child2" presStyleLbl="node1" presStyleIdx="1" presStyleCnt="6">
        <dgm:presLayoutVars>
          <dgm:chMax val="0"/>
          <dgm:chPref val="0"/>
          <dgm:bulletEnabled val="1"/>
        </dgm:presLayoutVars>
      </dgm:prSet>
      <dgm:spPr/>
    </dgm:pt>
    <dgm:pt modelId="{402AEED1-F569-45F8-AA36-D35C79E79FCB}" type="pres">
      <dgm:prSet presAssocID="{D119DEBC-0A0F-4B26-AA52-98CBF97CF242}" presName="Accent3" presStyleCnt="0"/>
      <dgm:spPr/>
    </dgm:pt>
    <dgm:pt modelId="{16CE82D8-4980-4C2F-A559-B285909FF436}" type="pres">
      <dgm:prSet presAssocID="{D119DEBC-0A0F-4B26-AA52-98CBF97CF242}" presName="Accent" presStyleLbl="bgShp" presStyleIdx="2" presStyleCnt="6"/>
      <dgm:spPr/>
    </dgm:pt>
    <dgm:pt modelId="{A075087F-EA96-4417-866F-A0F14608EFEC}" type="pres">
      <dgm:prSet presAssocID="{D119DEBC-0A0F-4B26-AA52-98CBF97CF242}" presName="Child3" presStyleLbl="node1" presStyleIdx="2" presStyleCnt="6">
        <dgm:presLayoutVars>
          <dgm:chMax val="0"/>
          <dgm:chPref val="0"/>
          <dgm:bulletEnabled val="1"/>
        </dgm:presLayoutVars>
      </dgm:prSet>
      <dgm:spPr/>
    </dgm:pt>
    <dgm:pt modelId="{C8C8459F-078F-41A1-BB4C-F70D56C47B75}" type="pres">
      <dgm:prSet presAssocID="{EC0DED14-5B90-4EB1-84E6-7B2D9D8067F0}" presName="Accent4" presStyleCnt="0"/>
      <dgm:spPr/>
    </dgm:pt>
    <dgm:pt modelId="{507F427B-EAEF-4236-A94C-C4B1C64EEBAB}" type="pres">
      <dgm:prSet presAssocID="{EC0DED14-5B90-4EB1-84E6-7B2D9D8067F0}" presName="Accent" presStyleLbl="bgShp" presStyleIdx="3" presStyleCnt="6"/>
      <dgm:spPr/>
    </dgm:pt>
    <dgm:pt modelId="{938A1CC2-E8B2-422C-B54D-AAEB5BE626E9}" type="pres">
      <dgm:prSet presAssocID="{EC0DED14-5B90-4EB1-84E6-7B2D9D8067F0}" presName="Child4" presStyleLbl="node1" presStyleIdx="3" presStyleCnt="6">
        <dgm:presLayoutVars>
          <dgm:chMax val="0"/>
          <dgm:chPref val="0"/>
          <dgm:bulletEnabled val="1"/>
        </dgm:presLayoutVars>
      </dgm:prSet>
      <dgm:spPr/>
    </dgm:pt>
    <dgm:pt modelId="{1A28F4AF-8E77-495D-BB0B-8E9016B3A03E}" type="pres">
      <dgm:prSet presAssocID="{9CF58DF7-96E2-45FA-93C3-0F027F3F8D79}" presName="Accent5" presStyleCnt="0"/>
      <dgm:spPr/>
    </dgm:pt>
    <dgm:pt modelId="{57FC4C0D-CD87-48D2-B62C-4FCCEC05D516}" type="pres">
      <dgm:prSet presAssocID="{9CF58DF7-96E2-45FA-93C3-0F027F3F8D79}" presName="Accent" presStyleLbl="bgShp" presStyleIdx="4" presStyleCnt="6"/>
      <dgm:spPr/>
    </dgm:pt>
    <dgm:pt modelId="{01934F0C-B66C-4D19-931D-E0C486E1C5C6}" type="pres">
      <dgm:prSet presAssocID="{9CF58DF7-96E2-45FA-93C3-0F027F3F8D79}" presName="Child5" presStyleLbl="node1" presStyleIdx="4" presStyleCnt="6">
        <dgm:presLayoutVars>
          <dgm:chMax val="0"/>
          <dgm:chPref val="0"/>
          <dgm:bulletEnabled val="1"/>
        </dgm:presLayoutVars>
      </dgm:prSet>
      <dgm:spPr/>
    </dgm:pt>
    <dgm:pt modelId="{16C3FF89-F33C-4D0B-B9B6-BFF3C24EDB65}" type="pres">
      <dgm:prSet presAssocID="{15C578E3-5A6C-4159-8D15-839EA93A2ED5}" presName="Accent6" presStyleCnt="0"/>
      <dgm:spPr/>
    </dgm:pt>
    <dgm:pt modelId="{A1AC6843-6C0E-4EF2-830F-87AD3A8C6F2A}" type="pres">
      <dgm:prSet presAssocID="{15C578E3-5A6C-4159-8D15-839EA93A2ED5}" presName="Accent" presStyleLbl="bgShp" presStyleIdx="5" presStyleCnt="6"/>
      <dgm:spPr/>
    </dgm:pt>
    <dgm:pt modelId="{B9E483FB-C6C5-43F4-AF29-A3BAD1246E52}" type="pres">
      <dgm:prSet presAssocID="{15C578E3-5A6C-4159-8D15-839EA93A2ED5}" presName="Child6" presStyleLbl="node1" presStyleIdx="5" presStyleCnt="6">
        <dgm:presLayoutVars>
          <dgm:chMax val="0"/>
          <dgm:chPref val="0"/>
          <dgm:bulletEnabled val="1"/>
        </dgm:presLayoutVars>
      </dgm:prSet>
      <dgm:spPr/>
    </dgm:pt>
  </dgm:ptLst>
  <dgm:cxnLst>
    <dgm:cxn modelId="{07E80F40-8AE6-4027-AEC6-BB20A39F3ED2}" type="presOf" srcId="{EC0DED14-5B90-4EB1-84E6-7B2D9D8067F0}" destId="{938A1CC2-E8B2-422C-B54D-AAEB5BE626E9}" srcOrd="0" destOrd="0" presId="urn:microsoft.com/office/officeart/2011/layout/HexagonRadial"/>
    <dgm:cxn modelId="{8DA3175C-9668-46F5-B4C2-E637DBA6D8CC}" srcId="{1A7D3B2D-C62E-4B6C-A9B2-75F854D00267}" destId="{AD0CFAE0-607D-4F35-A558-7DC13CA9E935}" srcOrd="0" destOrd="0" parTransId="{55717DFF-5489-4772-AA0C-DB5E3FF3D2FF}" sibTransId="{EECC2321-3F63-4E8B-8D4A-7D9086952F08}"/>
    <dgm:cxn modelId="{5B48AB42-414F-4408-8D72-B92306634BEE}" type="presOf" srcId="{15C578E3-5A6C-4159-8D15-839EA93A2ED5}" destId="{B9E483FB-C6C5-43F4-AF29-A3BAD1246E52}" srcOrd="0" destOrd="0" presId="urn:microsoft.com/office/officeart/2011/layout/HexagonRadial"/>
    <dgm:cxn modelId="{00052251-D3C3-4164-AA00-52FB2F9633A0}" srcId="{AD0CFAE0-607D-4F35-A558-7DC13CA9E935}" destId="{D119DEBC-0A0F-4B26-AA52-98CBF97CF242}" srcOrd="2" destOrd="0" parTransId="{A195B22B-D9F9-487A-BD12-DC16940E967B}" sibTransId="{D1D84315-518E-4ABF-B519-1657451E67F0}"/>
    <dgm:cxn modelId="{728CA655-0CF0-434F-B9DD-166153A0FAA2}" srcId="{AD0CFAE0-607D-4F35-A558-7DC13CA9E935}" destId="{15C578E3-5A6C-4159-8D15-839EA93A2ED5}" srcOrd="5" destOrd="0" parTransId="{81F31B97-7C3F-4339-B1AA-35DDD344843A}" sibTransId="{B30D4AE1-ABED-4B0C-B468-2164B951C3BB}"/>
    <dgm:cxn modelId="{FECFD278-6E31-490C-B5D3-51347C32CBAF}" srcId="{AD0CFAE0-607D-4F35-A558-7DC13CA9E935}" destId="{392CAD14-2734-48DB-A403-F54DBC5D10EF}" srcOrd="1" destOrd="0" parTransId="{0D188FC2-4552-481E-AA8A-B2E80ABC6E68}" sibTransId="{DB57AEDB-90F8-4EEF-A49A-331BC5579E3B}"/>
    <dgm:cxn modelId="{AE5C4D9E-E720-495B-8565-69DED41DE47C}" type="presOf" srcId="{9CF58DF7-96E2-45FA-93C3-0F027F3F8D79}" destId="{01934F0C-B66C-4D19-931D-E0C486E1C5C6}" srcOrd="0" destOrd="0" presId="urn:microsoft.com/office/officeart/2011/layout/HexagonRadial"/>
    <dgm:cxn modelId="{EA59B09F-C46A-4537-A78E-7068E89241D1}" type="presOf" srcId="{4203EA83-803F-400D-9242-B4903802018D}" destId="{571DBBDE-2D2B-47D0-8609-96780D76415A}" srcOrd="0" destOrd="0" presId="urn:microsoft.com/office/officeart/2011/layout/HexagonRadial"/>
    <dgm:cxn modelId="{F16F0FB9-4C5F-4E0C-BF2F-5143B8CF2651}" type="presOf" srcId="{392CAD14-2734-48DB-A403-F54DBC5D10EF}" destId="{44E3C31A-D99D-4926-AEA6-A8A8C4C9A4CA}" srcOrd="0" destOrd="0" presId="urn:microsoft.com/office/officeart/2011/layout/HexagonRadial"/>
    <dgm:cxn modelId="{E4EC4BC0-F110-4532-A966-94673FBCD734}" type="presOf" srcId="{1A7D3B2D-C62E-4B6C-A9B2-75F854D00267}" destId="{E36A7A45-635B-40C2-9E9F-17C3A8D4C3AF}" srcOrd="0" destOrd="0" presId="urn:microsoft.com/office/officeart/2011/layout/HexagonRadial"/>
    <dgm:cxn modelId="{7039E6C9-D21B-4409-994A-40176CF3EC64}" srcId="{AD0CFAE0-607D-4F35-A558-7DC13CA9E935}" destId="{4203EA83-803F-400D-9242-B4903802018D}" srcOrd="0" destOrd="0" parTransId="{4A972DE7-5518-45D0-9617-F800232DE1CD}" sibTransId="{77A6F047-F7F2-4672-8856-5128CE55FD17}"/>
    <dgm:cxn modelId="{B7D51BDE-C088-484B-87DA-00D11D2FCF63}" type="presOf" srcId="{AD0CFAE0-607D-4F35-A558-7DC13CA9E935}" destId="{B7AF12D9-90E9-4A88-93D0-12B73497A4E0}" srcOrd="0" destOrd="0" presId="urn:microsoft.com/office/officeart/2011/layout/HexagonRadial"/>
    <dgm:cxn modelId="{B1C661DF-FBF9-44C7-8390-E0ED73EE42EF}" type="presOf" srcId="{D119DEBC-0A0F-4B26-AA52-98CBF97CF242}" destId="{A075087F-EA96-4417-866F-A0F14608EFEC}" srcOrd="0" destOrd="0" presId="urn:microsoft.com/office/officeart/2011/layout/HexagonRadial"/>
    <dgm:cxn modelId="{C2B236E2-AF8E-4938-9829-CF11C1DEC77E}" srcId="{AD0CFAE0-607D-4F35-A558-7DC13CA9E935}" destId="{9CF58DF7-96E2-45FA-93C3-0F027F3F8D79}" srcOrd="4" destOrd="0" parTransId="{BFBD5580-F174-4A9E-9A59-0E6C585417E2}" sibTransId="{18132F1E-C0ED-49C5-97FA-DAE6A4BB6229}"/>
    <dgm:cxn modelId="{737F04E5-BDF8-451C-B942-DBC31D707639}" srcId="{AD0CFAE0-607D-4F35-A558-7DC13CA9E935}" destId="{EC0DED14-5B90-4EB1-84E6-7B2D9D8067F0}" srcOrd="3" destOrd="0" parTransId="{D9B42201-498A-44ED-9D90-CF70587185AF}" sibTransId="{FB4C195A-E344-4158-80CF-3DEDC4C63090}"/>
    <dgm:cxn modelId="{E3014B49-EB33-4930-9215-4776C77458B2}" type="presParOf" srcId="{E36A7A45-635B-40C2-9E9F-17C3A8D4C3AF}" destId="{B7AF12D9-90E9-4A88-93D0-12B73497A4E0}" srcOrd="0" destOrd="0" presId="urn:microsoft.com/office/officeart/2011/layout/HexagonRadial"/>
    <dgm:cxn modelId="{BD1B14A2-1744-44BE-8D6B-2BFBC78DA6AC}" type="presParOf" srcId="{E36A7A45-635B-40C2-9E9F-17C3A8D4C3AF}" destId="{75A0759A-8A57-4CA5-9ECB-906A5C9C67EB}" srcOrd="1" destOrd="0" presId="urn:microsoft.com/office/officeart/2011/layout/HexagonRadial"/>
    <dgm:cxn modelId="{999B9397-0E09-48FB-BAB6-4AC1C5F9BA68}" type="presParOf" srcId="{75A0759A-8A57-4CA5-9ECB-906A5C9C67EB}" destId="{D1F343A4-DC7C-4915-AE3B-07CF2F951E9C}" srcOrd="0" destOrd="0" presId="urn:microsoft.com/office/officeart/2011/layout/HexagonRadial"/>
    <dgm:cxn modelId="{3EF460D9-9500-4AD9-B839-C412B8847A46}" type="presParOf" srcId="{E36A7A45-635B-40C2-9E9F-17C3A8D4C3AF}" destId="{571DBBDE-2D2B-47D0-8609-96780D76415A}" srcOrd="2" destOrd="0" presId="urn:microsoft.com/office/officeart/2011/layout/HexagonRadial"/>
    <dgm:cxn modelId="{87635CC4-CF44-459A-87A3-BCD8251B2B0F}" type="presParOf" srcId="{E36A7A45-635B-40C2-9E9F-17C3A8D4C3AF}" destId="{A7EA3DCF-FF5D-495B-ACC1-C44BFE39C205}" srcOrd="3" destOrd="0" presId="urn:microsoft.com/office/officeart/2011/layout/HexagonRadial"/>
    <dgm:cxn modelId="{6C8FB5DB-3381-4F74-BF5D-7F1D85381C6D}" type="presParOf" srcId="{A7EA3DCF-FF5D-495B-ACC1-C44BFE39C205}" destId="{DEB99D9B-C8AF-4083-8B0E-D92640F341CF}" srcOrd="0" destOrd="0" presId="urn:microsoft.com/office/officeart/2011/layout/HexagonRadial"/>
    <dgm:cxn modelId="{63CE2F1D-4BBF-4173-B005-889627A66006}" type="presParOf" srcId="{E36A7A45-635B-40C2-9E9F-17C3A8D4C3AF}" destId="{44E3C31A-D99D-4926-AEA6-A8A8C4C9A4CA}" srcOrd="4" destOrd="0" presId="urn:microsoft.com/office/officeart/2011/layout/HexagonRadial"/>
    <dgm:cxn modelId="{ECC07781-6EE0-40C2-9548-CDE2F851F707}" type="presParOf" srcId="{E36A7A45-635B-40C2-9E9F-17C3A8D4C3AF}" destId="{402AEED1-F569-45F8-AA36-D35C79E79FCB}" srcOrd="5" destOrd="0" presId="urn:microsoft.com/office/officeart/2011/layout/HexagonRadial"/>
    <dgm:cxn modelId="{A9BB2687-6891-488C-8C2F-737F78F7C42A}" type="presParOf" srcId="{402AEED1-F569-45F8-AA36-D35C79E79FCB}" destId="{16CE82D8-4980-4C2F-A559-B285909FF436}" srcOrd="0" destOrd="0" presId="urn:microsoft.com/office/officeart/2011/layout/HexagonRadial"/>
    <dgm:cxn modelId="{A33D23E5-4193-4FE9-AA9B-6C5A8B6239A9}" type="presParOf" srcId="{E36A7A45-635B-40C2-9E9F-17C3A8D4C3AF}" destId="{A075087F-EA96-4417-866F-A0F14608EFEC}" srcOrd="6" destOrd="0" presId="urn:microsoft.com/office/officeart/2011/layout/HexagonRadial"/>
    <dgm:cxn modelId="{2E946853-5A2C-4B16-886C-78F01478D955}" type="presParOf" srcId="{E36A7A45-635B-40C2-9E9F-17C3A8D4C3AF}" destId="{C8C8459F-078F-41A1-BB4C-F70D56C47B75}" srcOrd="7" destOrd="0" presId="urn:microsoft.com/office/officeart/2011/layout/HexagonRadial"/>
    <dgm:cxn modelId="{5ED88A27-E136-46E0-BE8B-73F1AC7DCD58}" type="presParOf" srcId="{C8C8459F-078F-41A1-BB4C-F70D56C47B75}" destId="{507F427B-EAEF-4236-A94C-C4B1C64EEBAB}" srcOrd="0" destOrd="0" presId="urn:microsoft.com/office/officeart/2011/layout/HexagonRadial"/>
    <dgm:cxn modelId="{6E7F82B2-856D-4AF9-8E1E-563D7513D72D}" type="presParOf" srcId="{E36A7A45-635B-40C2-9E9F-17C3A8D4C3AF}" destId="{938A1CC2-E8B2-422C-B54D-AAEB5BE626E9}" srcOrd="8" destOrd="0" presId="urn:microsoft.com/office/officeart/2011/layout/HexagonRadial"/>
    <dgm:cxn modelId="{69F50112-441F-40CE-A14A-3D77AA9B4938}" type="presParOf" srcId="{E36A7A45-635B-40C2-9E9F-17C3A8D4C3AF}" destId="{1A28F4AF-8E77-495D-BB0B-8E9016B3A03E}" srcOrd="9" destOrd="0" presId="urn:microsoft.com/office/officeart/2011/layout/HexagonRadial"/>
    <dgm:cxn modelId="{85421D6F-E9D1-4387-97FB-746848043D78}" type="presParOf" srcId="{1A28F4AF-8E77-495D-BB0B-8E9016B3A03E}" destId="{57FC4C0D-CD87-48D2-B62C-4FCCEC05D516}" srcOrd="0" destOrd="0" presId="urn:microsoft.com/office/officeart/2011/layout/HexagonRadial"/>
    <dgm:cxn modelId="{2BB3395C-C016-48AB-86B5-FF2B22BD4184}" type="presParOf" srcId="{E36A7A45-635B-40C2-9E9F-17C3A8D4C3AF}" destId="{01934F0C-B66C-4D19-931D-E0C486E1C5C6}" srcOrd="10" destOrd="0" presId="urn:microsoft.com/office/officeart/2011/layout/HexagonRadial"/>
    <dgm:cxn modelId="{C95B5150-1F2B-4717-88CF-93B6FF67D0FC}" type="presParOf" srcId="{E36A7A45-635B-40C2-9E9F-17C3A8D4C3AF}" destId="{16C3FF89-F33C-4D0B-B9B6-BFF3C24EDB65}" srcOrd="11" destOrd="0" presId="urn:microsoft.com/office/officeart/2011/layout/HexagonRadial"/>
    <dgm:cxn modelId="{441D56C3-5047-4C50-8D0D-86623FD5662E}" type="presParOf" srcId="{16C3FF89-F33C-4D0B-B9B6-BFF3C24EDB65}" destId="{A1AC6843-6C0E-4EF2-830F-87AD3A8C6F2A}" srcOrd="0" destOrd="0" presId="urn:microsoft.com/office/officeart/2011/layout/HexagonRadial"/>
    <dgm:cxn modelId="{DEF5E014-8289-4C95-8DE1-25DD1C68153E}" type="presParOf" srcId="{E36A7A45-635B-40C2-9E9F-17C3A8D4C3AF}" destId="{B9E483FB-C6C5-43F4-AF29-A3BAD1246E52}" srcOrd="12" destOrd="0" presId="urn:microsoft.com/office/officeart/2011/layout/HexagonRadial"/>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69289AF-0291-4E0A-84D5-92AC817F69AF}" type="doc">
      <dgm:prSet loTypeId="urn:microsoft.com/office/officeart/2005/8/layout/equation2" loCatId="process" qsTypeId="urn:microsoft.com/office/officeart/2005/8/quickstyle/simple5" qsCatId="simple" csTypeId="urn:microsoft.com/office/officeart/2005/8/colors/accent6_5" csCatId="accent6" phldr="1"/>
      <dgm:spPr/>
    </dgm:pt>
    <dgm:pt modelId="{E69F01CA-B515-4693-A6B1-DF3BF68D3558}">
      <dgm:prSet phldrT="[Text]" custT="1"/>
      <dgm:spPr/>
      <dgm:t>
        <a:bodyPr/>
        <a:lstStyle/>
        <a:p>
          <a:r>
            <a:rPr lang="en-US" sz="900"/>
            <a:t>Sociodemographic factors</a:t>
          </a:r>
        </a:p>
      </dgm:t>
    </dgm:pt>
    <dgm:pt modelId="{9FFD902E-0757-4BC8-BB9A-BA3EFAA1AC2A}" type="parTrans" cxnId="{2139D69F-0323-4AFB-9CA4-4A73938F210B}">
      <dgm:prSet/>
      <dgm:spPr/>
      <dgm:t>
        <a:bodyPr/>
        <a:lstStyle/>
        <a:p>
          <a:endParaRPr lang="en-US" sz="2000"/>
        </a:p>
      </dgm:t>
    </dgm:pt>
    <dgm:pt modelId="{DBFFC99A-2407-437D-B324-8ABBFA7A82EF}" type="sibTrans" cxnId="{2139D69F-0323-4AFB-9CA4-4A73938F210B}">
      <dgm:prSet custT="1"/>
      <dgm:spPr/>
      <dgm:t>
        <a:bodyPr/>
        <a:lstStyle/>
        <a:p>
          <a:endParaRPr lang="en-US" sz="600"/>
        </a:p>
      </dgm:t>
    </dgm:pt>
    <dgm:pt modelId="{74C35CAF-B3B0-4694-9A5F-990384A85F4D}">
      <dgm:prSet phldrT="[Text]" custT="1"/>
      <dgm:spPr/>
      <dgm:t>
        <a:bodyPr/>
        <a:lstStyle/>
        <a:p>
          <a:r>
            <a:rPr lang="en-US" sz="900"/>
            <a:t>Provider-client relationship</a:t>
          </a:r>
        </a:p>
      </dgm:t>
    </dgm:pt>
    <dgm:pt modelId="{92ED5E9E-B176-4CC2-922C-DD92F636E053}" type="parTrans" cxnId="{36EBFAB8-1DBD-4C80-AC35-167C41988E38}">
      <dgm:prSet/>
      <dgm:spPr/>
      <dgm:t>
        <a:bodyPr/>
        <a:lstStyle/>
        <a:p>
          <a:endParaRPr lang="en-US" sz="2000"/>
        </a:p>
      </dgm:t>
    </dgm:pt>
    <dgm:pt modelId="{AF189511-4E5E-4FD0-ABC2-E491FA9EE75C}" type="sibTrans" cxnId="{36EBFAB8-1DBD-4C80-AC35-167C41988E38}">
      <dgm:prSet custT="1"/>
      <dgm:spPr/>
      <dgm:t>
        <a:bodyPr/>
        <a:lstStyle/>
        <a:p>
          <a:endParaRPr lang="en-US" sz="700"/>
        </a:p>
      </dgm:t>
    </dgm:pt>
    <dgm:pt modelId="{5B41EA9E-5A03-4343-A33B-5D0396005DFF}">
      <dgm:prSet phldrT="[Text]" custT="1"/>
      <dgm:spPr/>
      <dgm:t>
        <a:bodyPr/>
        <a:lstStyle/>
        <a:p>
          <a:r>
            <a:rPr lang="en-US" sz="2800" b="1"/>
            <a:t>Patient Satisfaction</a:t>
          </a:r>
        </a:p>
      </dgm:t>
    </dgm:pt>
    <dgm:pt modelId="{B529A426-B040-4345-9C4F-7D883385EBCF}" type="parTrans" cxnId="{B28960D8-B4F2-4E59-BF08-3279BD639E0E}">
      <dgm:prSet/>
      <dgm:spPr/>
      <dgm:t>
        <a:bodyPr/>
        <a:lstStyle/>
        <a:p>
          <a:endParaRPr lang="en-US" sz="2000"/>
        </a:p>
      </dgm:t>
    </dgm:pt>
    <dgm:pt modelId="{94F63C26-9676-46F5-8986-E4BE1DC138AB}" type="sibTrans" cxnId="{B28960D8-B4F2-4E59-BF08-3279BD639E0E}">
      <dgm:prSet/>
      <dgm:spPr/>
      <dgm:t>
        <a:bodyPr/>
        <a:lstStyle/>
        <a:p>
          <a:endParaRPr lang="en-US" sz="2000"/>
        </a:p>
      </dgm:t>
    </dgm:pt>
    <dgm:pt modelId="{196DCC96-1E53-4293-8AAD-525E9F08B69F}">
      <dgm:prSet custT="1"/>
      <dgm:spPr/>
      <dgm:t>
        <a:bodyPr/>
        <a:lstStyle/>
        <a:p>
          <a:r>
            <a:rPr lang="en-US" sz="900"/>
            <a:t>Educational and occupational status</a:t>
          </a:r>
        </a:p>
      </dgm:t>
    </dgm:pt>
    <dgm:pt modelId="{36B4775E-22C5-47A7-809D-054956D27DDA}" type="parTrans" cxnId="{BED81325-D2E9-4EE9-9D80-238D03CFDBAC}">
      <dgm:prSet/>
      <dgm:spPr/>
      <dgm:t>
        <a:bodyPr/>
        <a:lstStyle/>
        <a:p>
          <a:endParaRPr lang="en-US" sz="2000"/>
        </a:p>
      </dgm:t>
    </dgm:pt>
    <dgm:pt modelId="{E2F7054C-529B-411D-B885-8A7E58F071E0}" type="sibTrans" cxnId="{BED81325-D2E9-4EE9-9D80-238D03CFDBAC}">
      <dgm:prSet custT="1"/>
      <dgm:spPr/>
      <dgm:t>
        <a:bodyPr/>
        <a:lstStyle/>
        <a:p>
          <a:endParaRPr lang="en-US" sz="600"/>
        </a:p>
      </dgm:t>
    </dgm:pt>
    <dgm:pt modelId="{14C5B690-1231-4E49-9D7F-4A01F49AE52A}">
      <dgm:prSet custT="1"/>
      <dgm:spPr/>
      <dgm:t>
        <a:bodyPr/>
        <a:lstStyle/>
        <a:p>
          <a:r>
            <a:rPr lang="en-US" sz="900"/>
            <a:t>Drug and supply availability</a:t>
          </a:r>
        </a:p>
      </dgm:t>
    </dgm:pt>
    <dgm:pt modelId="{2B072E19-FA15-4F31-89C3-097E1B70D543}" type="parTrans" cxnId="{8AEDD7AD-5258-4BCE-9ED4-949A122A1712}">
      <dgm:prSet/>
      <dgm:spPr/>
      <dgm:t>
        <a:bodyPr/>
        <a:lstStyle/>
        <a:p>
          <a:endParaRPr lang="en-US" sz="2000"/>
        </a:p>
      </dgm:t>
    </dgm:pt>
    <dgm:pt modelId="{CD472361-DADC-4AEB-8FD1-3F1D32417D6C}" type="sibTrans" cxnId="{8AEDD7AD-5258-4BCE-9ED4-949A122A1712}">
      <dgm:prSet custT="1"/>
      <dgm:spPr/>
      <dgm:t>
        <a:bodyPr/>
        <a:lstStyle/>
        <a:p>
          <a:endParaRPr lang="en-US" sz="600"/>
        </a:p>
      </dgm:t>
    </dgm:pt>
    <dgm:pt modelId="{5B56FE04-E0F1-473E-9FD5-946E3962825E}">
      <dgm:prSet custT="1"/>
      <dgm:spPr/>
      <dgm:t>
        <a:bodyPr/>
        <a:lstStyle/>
        <a:p>
          <a:r>
            <a:rPr lang="en-US" sz="900"/>
            <a:t>Waiting times and distance</a:t>
          </a:r>
        </a:p>
      </dgm:t>
    </dgm:pt>
    <dgm:pt modelId="{E6A63EAF-3A9B-4E1C-AF71-1682FED94AB3}" type="parTrans" cxnId="{54345372-9C96-42F4-A81E-3EABFD57852C}">
      <dgm:prSet/>
      <dgm:spPr/>
      <dgm:t>
        <a:bodyPr/>
        <a:lstStyle/>
        <a:p>
          <a:endParaRPr lang="en-US" sz="2000"/>
        </a:p>
      </dgm:t>
    </dgm:pt>
    <dgm:pt modelId="{81806661-A6FF-4566-9B07-4D7488616011}" type="sibTrans" cxnId="{54345372-9C96-42F4-A81E-3EABFD57852C}">
      <dgm:prSet custT="1"/>
      <dgm:spPr/>
      <dgm:t>
        <a:bodyPr/>
        <a:lstStyle/>
        <a:p>
          <a:endParaRPr lang="en-US" sz="600"/>
        </a:p>
      </dgm:t>
    </dgm:pt>
    <dgm:pt modelId="{DC91B019-28AC-440C-AD9E-2793D68DC8D1}">
      <dgm:prSet custT="1"/>
      <dgm:spPr/>
      <dgm:t>
        <a:bodyPr/>
        <a:lstStyle/>
        <a:p>
          <a:r>
            <a:rPr lang="en-US" sz="900"/>
            <a:t>Payment status</a:t>
          </a:r>
        </a:p>
      </dgm:t>
    </dgm:pt>
    <dgm:pt modelId="{8ADD4DE8-A2AC-4F2B-97CA-92856147F514}" type="parTrans" cxnId="{6DD0E2D6-6AAD-4A1E-A9E6-06C844A5B731}">
      <dgm:prSet/>
      <dgm:spPr/>
      <dgm:t>
        <a:bodyPr/>
        <a:lstStyle/>
        <a:p>
          <a:endParaRPr lang="en-US" sz="2000"/>
        </a:p>
      </dgm:t>
    </dgm:pt>
    <dgm:pt modelId="{CA8519A0-51CC-45E7-A9CD-58D61CD39E06}" type="sibTrans" cxnId="{6DD0E2D6-6AAD-4A1E-A9E6-06C844A5B731}">
      <dgm:prSet custT="1"/>
      <dgm:spPr/>
      <dgm:t>
        <a:bodyPr/>
        <a:lstStyle/>
        <a:p>
          <a:endParaRPr lang="en-US" sz="600"/>
        </a:p>
      </dgm:t>
    </dgm:pt>
    <dgm:pt modelId="{7D688B9C-D183-42A5-B52E-A312ADE986A8}" type="pres">
      <dgm:prSet presAssocID="{C69289AF-0291-4E0A-84D5-92AC817F69AF}" presName="Name0" presStyleCnt="0">
        <dgm:presLayoutVars>
          <dgm:dir/>
          <dgm:resizeHandles val="exact"/>
        </dgm:presLayoutVars>
      </dgm:prSet>
      <dgm:spPr/>
    </dgm:pt>
    <dgm:pt modelId="{576F6409-6E80-4FBB-A8D5-2EB7DAEEF0D9}" type="pres">
      <dgm:prSet presAssocID="{C69289AF-0291-4E0A-84D5-92AC817F69AF}" presName="vNodes" presStyleCnt="0"/>
      <dgm:spPr/>
    </dgm:pt>
    <dgm:pt modelId="{923BE032-ED0B-45BC-99ED-17CA7F73FF15}" type="pres">
      <dgm:prSet presAssocID="{E69F01CA-B515-4693-A6B1-DF3BF68D3558}" presName="node" presStyleLbl="node1" presStyleIdx="0" presStyleCnt="7" custScaleX="380406" custScaleY="122023">
        <dgm:presLayoutVars>
          <dgm:bulletEnabled val="1"/>
        </dgm:presLayoutVars>
      </dgm:prSet>
      <dgm:spPr/>
    </dgm:pt>
    <dgm:pt modelId="{BEBEA1A3-D3E7-452F-AD68-C5CFDA3D106A}" type="pres">
      <dgm:prSet presAssocID="{DBFFC99A-2407-437D-B324-8ABBFA7A82EF}" presName="spacerT" presStyleCnt="0"/>
      <dgm:spPr/>
    </dgm:pt>
    <dgm:pt modelId="{30B9B24B-41EE-412F-918D-E498E6A37B70}" type="pres">
      <dgm:prSet presAssocID="{DBFFC99A-2407-437D-B324-8ABBFA7A82EF}" presName="sibTrans" presStyleLbl="sibTrans2D1" presStyleIdx="0" presStyleCnt="6"/>
      <dgm:spPr/>
    </dgm:pt>
    <dgm:pt modelId="{B82FDBF8-A255-4165-9BBE-B219F97C87B4}" type="pres">
      <dgm:prSet presAssocID="{DBFFC99A-2407-437D-B324-8ABBFA7A82EF}" presName="spacerB" presStyleCnt="0"/>
      <dgm:spPr/>
    </dgm:pt>
    <dgm:pt modelId="{F0A2BFFD-9BB1-4B8C-A8C1-1085A6E45A14}" type="pres">
      <dgm:prSet presAssocID="{196DCC96-1E53-4293-8AAD-525E9F08B69F}" presName="node" presStyleLbl="node1" presStyleIdx="1" presStyleCnt="7" custScaleX="205375" custScaleY="156854">
        <dgm:presLayoutVars>
          <dgm:bulletEnabled val="1"/>
        </dgm:presLayoutVars>
      </dgm:prSet>
      <dgm:spPr/>
    </dgm:pt>
    <dgm:pt modelId="{23E5D5FC-BEEE-4E95-82E5-B5ED66D6C3BC}" type="pres">
      <dgm:prSet presAssocID="{E2F7054C-529B-411D-B885-8A7E58F071E0}" presName="spacerT" presStyleCnt="0"/>
      <dgm:spPr/>
    </dgm:pt>
    <dgm:pt modelId="{FFE446A3-BDD7-4D53-9532-D6D89F1B86E7}" type="pres">
      <dgm:prSet presAssocID="{E2F7054C-529B-411D-B885-8A7E58F071E0}" presName="sibTrans" presStyleLbl="sibTrans2D1" presStyleIdx="1" presStyleCnt="6"/>
      <dgm:spPr/>
    </dgm:pt>
    <dgm:pt modelId="{CED215A5-A731-440F-8843-7B330D6CA710}" type="pres">
      <dgm:prSet presAssocID="{E2F7054C-529B-411D-B885-8A7E58F071E0}" presName="spacerB" presStyleCnt="0"/>
      <dgm:spPr/>
    </dgm:pt>
    <dgm:pt modelId="{ADD7333C-1225-40B2-AEC2-1006BB9C2A3D}" type="pres">
      <dgm:prSet presAssocID="{5B56FE04-E0F1-473E-9FD5-946E3962825E}" presName="node" presStyleLbl="node1" presStyleIdx="2" presStyleCnt="7" custScaleX="188567">
        <dgm:presLayoutVars>
          <dgm:bulletEnabled val="1"/>
        </dgm:presLayoutVars>
      </dgm:prSet>
      <dgm:spPr/>
    </dgm:pt>
    <dgm:pt modelId="{3F874CFA-3F39-4E8A-831F-7F9EFB6953B5}" type="pres">
      <dgm:prSet presAssocID="{81806661-A6FF-4566-9B07-4D7488616011}" presName="spacerT" presStyleCnt="0"/>
      <dgm:spPr/>
    </dgm:pt>
    <dgm:pt modelId="{E4EF787C-4FF1-429C-A022-5E507A0793EB}" type="pres">
      <dgm:prSet presAssocID="{81806661-A6FF-4566-9B07-4D7488616011}" presName="sibTrans" presStyleLbl="sibTrans2D1" presStyleIdx="2" presStyleCnt="6"/>
      <dgm:spPr/>
    </dgm:pt>
    <dgm:pt modelId="{BFE070E0-411A-4D68-92CA-2EA28739BFE2}" type="pres">
      <dgm:prSet presAssocID="{81806661-A6FF-4566-9B07-4D7488616011}" presName="spacerB" presStyleCnt="0"/>
      <dgm:spPr/>
    </dgm:pt>
    <dgm:pt modelId="{062F9E87-69C1-4157-9EEA-AA26A7964827}" type="pres">
      <dgm:prSet presAssocID="{DC91B019-28AC-440C-AD9E-2793D68DC8D1}" presName="node" presStyleLbl="node1" presStyleIdx="3" presStyleCnt="7" custScaleX="297566">
        <dgm:presLayoutVars>
          <dgm:bulletEnabled val="1"/>
        </dgm:presLayoutVars>
      </dgm:prSet>
      <dgm:spPr/>
    </dgm:pt>
    <dgm:pt modelId="{27C051DC-F796-46B6-9AE2-F27C126B19D2}" type="pres">
      <dgm:prSet presAssocID="{CA8519A0-51CC-45E7-A9CD-58D61CD39E06}" presName="spacerT" presStyleCnt="0"/>
      <dgm:spPr/>
    </dgm:pt>
    <dgm:pt modelId="{59C6BEDB-BC77-41AB-9283-2DF427503324}" type="pres">
      <dgm:prSet presAssocID="{CA8519A0-51CC-45E7-A9CD-58D61CD39E06}" presName="sibTrans" presStyleLbl="sibTrans2D1" presStyleIdx="3" presStyleCnt="6"/>
      <dgm:spPr/>
    </dgm:pt>
    <dgm:pt modelId="{796D444D-FD9F-4932-9C3F-A24EE87D988D}" type="pres">
      <dgm:prSet presAssocID="{CA8519A0-51CC-45E7-A9CD-58D61CD39E06}" presName="spacerB" presStyleCnt="0"/>
      <dgm:spPr/>
    </dgm:pt>
    <dgm:pt modelId="{1DADC64D-8872-4130-802C-6F833A7ABE4D}" type="pres">
      <dgm:prSet presAssocID="{14C5B690-1231-4E49-9D7F-4A01F49AE52A}" presName="node" presStyleLbl="node1" presStyleIdx="4" presStyleCnt="7" custScaleX="222352" custScaleY="118098">
        <dgm:presLayoutVars>
          <dgm:bulletEnabled val="1"/>
        </dgm:presLayoutVars>
      </dgm:prSet>
      <dgm:spPr/>
    </dgm:pt>
    <dgm:pt modelId="{894449FD-332B-4B35-919C-4240FF83AFD6}" type="pres">
      <dgm:prSet presAssocID="{CD472361-DADC-4AEB-8FD1-3F1D32417D6C}" presName="spacerT" presStyleCnt="0"/>
      <dgm:spPr/>
    </dgm:pt>
    <dgm:pt modelId="{CB4BCE31-5B48-4716-81F7-EA972E5DFDAD}" type="pres">
      <dgm:prSet presAssocID="{CD472361-DADC-4AEB-8FD1-3F1D32417D6C}" presName="sibTrans" presStyleLbl="sibTrans2D1" presStyleIdx="4" presStyleCnt="6"/>
      <dgm:spPr/>
    </dgm:pt>
    <dgm:pt modelId="{0E807A7E-A6F0-4FF2-A16F-8082D5D799D7}" type="pres">
      <dgm:prSet presAssocID="{CD472361-DADC-4AEB-8FD1-3F1D32417D6C}" presName="spacerB" presStyleCnt="0"/>
      <dgm:spPr/>
    </dgm:pt>
    <dgm:pt modelId="{62FB5DFD-2EF8-4C3A-A511-04025594AF21}" type="pres">
      <dgm:prSet presAssocID="{74C35CAF-B3B0-4694-9A5F-990384A85F4D}" presName="node" presStyleLbl="node1" presStyleIdx="5" presStyleCnt="7" custScaleX="182066" custScaleY="126259">
        <dgm:presLayoutVars>
          <dgm:bulletEnabled val="1"/>
        </dgm:presLayoutVars>
      </dgm:prSet>
      <dgm:spPr/>
    </dgm:pt>
    <dgm:pt modelId="{4F831F10-A5C0-4896-A8A7-BFCBBBE6A922}" type="pres">
      <dgm:prSet presAssocID="{C69289AF-0291-4E0A-84D5-92AC817F69AF}" presName="sibTransLast" presStyleLbl="sibTrans2D1" presStyleIdx="5" presStyleCnt="6"/>
      <dgm:spPr/>
    </dgm:pt>
    <dgm:pt modelId="{9DD28EC1-94B0-4A9B-BAEE-D8CEBEC110F4}" type="pres">
      <dgm:prSet presAssocID="{C69289AF-0291-4E0A-84D5-92AC817F69AF}" presName="connectorText" presStyleLbl="sibTrans2D1" presStyleIdx="5" presStyleCnt="6"/>
      <dgm:spPr/>
    </dgm:pt>
    <dgm:pt modelId="{31187A07-B30F-4FC7-8FE0-9AA90E7D7F51}" type="pres">
      <dgm:prSet presAssocID="{C69289AF-0291-4E0A-84D5-92AC817F69AF}" presName="lastNode" presStyleLbl="node1" presStyleIdx="6" presStyleCnt="7" custScaleX="307354" custScaleY="193677">
        <dgm:presLayoutVars>
          <dgm:bulletEnabled val="1"/>
        </dgm:presLayoutVars>
      </dgm:prSet>
      <dgm:spPr/>
    </dgm:pt>
  </dgm:ptLst>
  <dgm:cxnLst>
    <dgm:cxn modelId="{09F42A12-7461-405E-81D4-10A299C582A3}" type="presOf" srcId="{14C5B690-1231-4E49-9D7F-4A01F49AE52A}" destId="{1DADC64D-8872-4130-802C-6F833A7ABE4D}" srcOrd="0" destOrd="0" presId="urn:microsoft.com/office/officeart/2005/8/layout/equation2"/>
    <dgm:cxn modelId="{BED81325-D2E9-4EE9-9D80-238D03CFDBAC}" srcId="{C69289AF-0291-4E0A-84D5-92AC817F69AF}" destId="{196DCC96-1E53-4293-8AAD-525E9F08B69F}" srcOrd="1" destOrd="0" parTransId="{36B4775E-22C5-47A7-809D-054956D27DDA}" sibTransId="{E2F7054C-529B-411D-B885-8A7E58F071E0}"/>
    <dgm:cxn modelId="{986A2744-4271-4595-83AD-FC5DE04BFF10}" type="presOf" srcId="{E2F7054C-529B-411D-B885-8A7E58F071E0}" destId="{FFE446A3-BDD7-4D53-9532-D6D89F1B86E7}" srcOrd="0" destOrd="0" presId="urn:microsoft.com/office/officeart/2005/8/layout/equation2"/>
    <dgm:cxn modelId="{54345372-9C96-42F4-A81E-3EABFD57852C}" srcId="{C69289AF-0291-4E0A-84D5-92AC817F69AF}" destId="{5B56FE04-E0F1-473E-9FD5-946E3962825E}" srcOrd="2" destOrd="0" parTransId="{E6A63EAF-3A9B-4E1C-AF71-1682FED94AB3}" sibTransId="{81806661-A6FF-4566-9B07-4D7488616011}"/>
    <dgm:cxn modelId="{68609772-6D4E-45E1-AA0B-6629E1BA527C}" type="presOf" srcId="{DBFFC99A-2407-437D-B324-8ABBFA7A82EF}" destId="{30B9B24B-41EE-412F-918D-E498E6A37B70}" srcOrd="0" destOrd="0" presId="urn:microsoft.com/office/officeart/2005/8/layout/equation2"/>
    <dgm:cxn modelId="{D36A6B54-D111-4356-854C-C067BA8FE734}" type="presOf" srcId="{5B56FE04-E0F1-473E-9FD5-946E3962825E}" destId="{ADD7333C-1225-40B2-AEC2-1006BB9C2A3D}" srcOrd="0" destOrd="0" presId="urn:microsoft.com/office/officeart/2005/8/layout/equation2"/>
    <dgm:cxn modelId="{C4109687-FAA7-47E1-A61D-CED97AC6C46B}" type="presOf" srcId="{196DCC96-1E53-4293-8AAD-525E9F08B69F}" destId="{F0A2BFFD-9BB1-4B8C-A8C1-1085A6E45A14}" srcOrd="0" destOrd="0" presId="urn:microsoft.com/office/officeart/2005/8/layout/equation2"/>
    <dgm:cxn modelId="{0D358E99-2474-40C8-B7C1-E75C085FDCE2}" type="presOf" srcId="{CD472361-DADC-4AEB-8FD1-3F1D32417D6C}" destId="{CB4BCE31-5B48-4716-81F7-EA972E5DFDAD}" srcOrd="0" destOrd="0" presId="urn:microsoft.com/office/officeart/2005/8/layout/equation2"/>
    <dgm:cxn modelId="{2139D69F-0323-4AFB-9CA4-4A73938F210B}" srcId="{C69289AF-0291-4E0A-84D5-92AC817F69AF}" destId="{E69F01CA-B515-4693-A6B1-DF3BF68D3558}" srcOrd="0" destOrd="0" parTransId="{9FFD902E-0757-4BC8-BB9A-BA3EFAA1AC2A}" sibTransId="{DBFFC99A-2407-437D-B324-8ABBFA7A82EF}"/>
    <dgm:cxn modelId="{373352AB-3AF9-4D48-ACDC-B1C91D9287F2}" type="presOf" srcId="{AF189511-4E5E-4FD0-ABC2-E491FA9EE75C}" destId="{9DD28EC1-94B0-4A9B-BAEE-D8CEBEC110F4}" srcOrd="1" destOrd="0" presId="urn:microsoft.com/office/officeart/2005/8/layout/equation2"/>
    <dgm:cxn modelId="{C879CDAC-DE38-4921-A407-2C3C99580A67}" type="presOf" srcId="{AF189511-4E5E-4FD0-ABC2-E491FA9EE75C}" destId="{4F831F10-A5C0-4896-A8A7-BFCBBBE6A922}" srcOrd="0" destOrd="0" presId="urn:microsoft.com/office/officeart/2005/8/layout/equation2"/>
    <dgm:cxn modelId="{8AEDD7AD-5258-4BCE-9ED4-949A122A1712}" srcId="{C69289AF-0291-4E0A-84D5-92AC817F69AF}" destId="{14C5B690-1231-4E49-9D7F-4A01F49AE52A}" srcOrd="4" destOrd="0" parTransId="{2B072E19-FA15-4F31-89C3-097E1B70D543}" sibTransId="{CD472361-DADC-4AEB-8FD1-3F1D32417D6C}"/>
    <dgm:cxn modelId="{36EBFAB8-1DBD-4C80-AC35-167C41988E38}" srcId="{C69289AF-0291-4E0A-84D5-92AC817F69AF}" destId="{74C35CAF-B3B0-4694-9A5F-990384A85F4D}" srcOrd="5" destOrd="0" parTransId="{92ED5E9E-B176-4CC2-922C-DD92F636E053}" sibTransId="{AF189511-4E5E-4FD0-ABC2-E491FA9EE75C}"/>
    <dgm:cxn modelId="{3F1B19D3-9506-43E0-9660-D0D5A39C78EE}" type="presOf" srcId="{C69289AF-0291-4E0A-84D5-92AC817F69AF}" destId="{7D688B9C-D183-42A5-B52E-A312ADE986A8}" srcOrd="0" destOrd="0" presId="urn:microsoft.com/office/officeart/2005/8/layout/equation2"/>
    <dgm:cxn modelId="{1018B0D4-53F6-40E9-9366-FE3DBD72155E}" type="presOf" srcId="{CA8519A0-51CC-45E7-A9CD-58D61CD39E06}" destId="{59C6BEDB-BC77-41AB-9283-2DF427503324}" srcOrd="0" destOrd="0" presId="urn:microsoft.com/office/officeart/2005/8/layout/equation2"/>
    <dgm:cxn modelId="{6DD0E2D6-6AAD-4A1E-A9E6-06C844A5B731}" srcId="{C69289AF-0291-4E0A-84D5-92AC817F69AF}" destId="{DC91B019-28AC-440C-AD9E-2793D68DC8D1}" srcOrd="3" destOrd="0" parTransId="{8ADD4DE8-A2AC-4F2B-97CA-92856147F514}" sibTransId="{CA8519A0-51CC-45E7-A9CD-58D61CD39E06}"/>
    <dgm:cxn modelId="{B28960D8-B4F2-4E59-BF08-3279BD639E0E}" srcId="{C69289AF-0291-4E0A-84D5-92AC817F69AF}" destId="{5B41EA9E-5A03-4343-A33B-5D0396005DFF}" srcOrd="6" destOrd="0" parTransId="{B529A426-B040-4345-9C4F-7D883385EBCF}" sibTransId="{94F63C26-9676-46F5-8986-E4BE1DC138AB}"/>
    <dgm:cxn modelId="{3F9DA9DC-21CF-493A-B478-71903DFD4C20}" type="presOf" srcId="{74C35CAF-B3B0-4694-9A5F-990384A85F4D}" destId="{62FB5DFD-2EF8-4C3A-A511-04025594AF21}" srcOrd="0" destOrd="0" presId="urn:microsoft.com/office/officeart/2005/8/layout/equation2"/>
    <dgm:cxn modelId="{F81B92DE-D802-4C6C-8F74-C61B90261142}" type="presOf" srcId="{DC91B019-28AC-440C-AD9E-2793D68DC8D1}" destId="{062F9E87-69C1-4157-9EEA-AA26A7964827}" srcOrd="0" destOrd="0" presId="urn:microsoft.com/office/officeart/2005/8/layout/equation2"/>
    <dgm:cxn modelId="{90C259E7-9BAA-4A46-AD1D-65F6452850BB}" type="presOf" srcId="{5B41EA9E-5A03-4343-A33B-5D0396005DFF}" destId="{31187A07-B30F-4FC7-8FE0-9AA90E7D7F51}" srcOrd="0" destOrd="0" presId="urn:microsoft.com/office/officeart/2005/8/layout/equation2"/>
    <dgm:cxn modelId="{B2F8C3F2-B861-4C47-8C67-DE214B5C5A92}" type="presOf" srcId="{81806661-A6FF-4566-9B07-4D7488616011}" destId="{E4EF787C-4FF1-429C-A022-5E507A0793EB}" srcOrd="0" destOrd="0" presId="urn:microsoft.com/office/officeart/2005/8/layout/equation2"/>
    <dgm:cxn modelId="{3DFB45FE-A745-4E52-A116-94650971CE90}" type="presOf" srcId="{E69F01CA-B515-4693-A6B1-DF3BF68D3558}" destId="{923BE032-ED0B-45BC-99ED-17CA7F73FF15}" srcOrd="0" destOrd="0" presId="urn:microsoft.com/office/officeart/2005/8/layout/equation2"/>
    <dgm:cxn modelId="{F028A048-1F28-42A9-94ED-456D86CE9F67}" type="presParOf" srcId="{7D688B9C-D183-42A5-B52E-A312ADE986A8}" destId="{576F6409-6E80-4FBB-A8D5-2EB7DAEEF0D9}" srcOrd="0" destOrd="0" presId="urn:microsoft.com/office/officeart/2005/8/layout/equation2"/>
    <dgm:cxn modelId="{A4F6542D-33D1-4AB6-8B29-8F613964D7C0}" type="presParOf" srcId="{576F6409-6E80-4FBB-A8D5-2EB7DAEEF0D9}" destId="{923BE032-ED0B-45BC-99ED-17CA7F73FF15}" srcOrd="0" destOrd="0" presId="urn:microsoft.com/office/officeart/2005/8/layout/equation2"/>
    <dgm:cxn modelId="{16847CFF-A682-4ABC-959B-1C0DF03B6702}" type="presParOf" srcId="{576F6409-6E80-4FBB-A8D5-2EB7DAEEF0D9}" destId="{BEBEA1A3-D3E7-452F-AD68-C5CFDA3D106A}" srcOrd="1" destOrd="0" presId="urn:microsoft.com/office/officeart/2005/8/layout/equation2"/>
    <dgm:cxn modelId="{911BA832-8D47-452F-81CF-921AC60F11BA}" type="presParOf" srcId="{576F6409-6E80-4FBB-A8D5-2EB7DAEEF0D9}" destId="{30B9B24B-41EE-412F-918D-E498E6A37B70}" srcOrd="2" destOrd="0" presId="urn:microsoft.com/office/officeart/2005/8/layout/equation2"/>
    <dgm:cxn modelId="{85668BD5-2C40-4790-9626-BA1061CCD011}" type="presParOf" srcId="{576F6409-6E80-4FBB-A8D5-2EB7DAEEF0D9}" destId="{B82FDBF8-A255-4165-9BBE-B219F97C87B4}" srcOrd="3" destOrd="0" presId="urn:microsoft.com/office/officeart/2005/8/layout/equation2"/>
    <dgm:cxn modelId="{AA7909C3-F335-4E5B-9249-EF6417C7FAD8}" type="presParOf" srcId="{576F6409-6E80-4FBB-A8D5-2EB7DAEEF0D9}" destId="{F0A2BFFD-9BB1-4B8C-A8C1-1085A6E45A14}" srcOrd="4" destOrd="0" presId="urn:microsoft.com/office/officeart/2005/8/layout/equation2"/>
    <dgm:cxn modelId="{8CDDB71E-C9CB-4000-B42A-97BCDA03292E}" type="presParOf" srcId="{576F6409-6E80-4FBB-A8D5-2EB7DAEEF0D9}" destId="{23E5D5FC-BEEE-4E95-82E5-B5ED66D6C3BC}" srcOrd="5" destOrd="0" presId="urn:microsoft.com/office/officeart/2005/8/layout/equation2"/>
    <dgm:cxn modelId="{B2D02015-B7CF-4733-AF14-BBE8D8D97681}" type="presParOf" srcId="{576F6409-6E80-4FBB-A8D5-2EB7DAEEF0D9}" destId="{FFE446A3-BDD7-4D53-9532-D6D89F1B86E7}" srcOrd="6" destOrd="0" presId="urn:microsoft.com/office/officeart/2005/8/layout/equation2"/>
    <dgm:cxn modelId="{947CF93A-D273-4682-830B-2D66153C3349}" type="presParOf" srcId="{576F6409-6E80-4FBB-A8D5-2EB7DAEEF0D9}" destId="{CED215A5-A731-440F-8843-7B330D6CA710}" srcOrd="7" destOrd="0" presId="urn:microsoft.com/office/officeart/2005/8/layout/equation2"/>
    <dgm:cxn modelId="{2DD34E86-A68C-4C3C-8A60-71B583A28EAC}" type="presParOf" srcId="{576F6409-6E80-4FBB-A8D5-2EB7DAEEF0D9}" destId="{ADD7333C-1225-40B2-AEC2-1006BB9C2A3D}" srcOrd="8" destOrd="0" presId="urn:microsoft.com/office/officeart/2005/8/layout/equation2"/>
    <dgm:cxn modelId="{91E60701-47F2-425B-9AE2-7709DA5FC2D5}" type="presParOf" srcId="{576F6409-6E80-4FBB-A8D5-2EB7DAEEF0D9}" destId="{3F874CFA-3F39-4E8A-831F-7F9EFB6953B5}" srcOrd="9" destOrd="0" presId="urn:microsoft.com/office/officeart/2005/8/layout/equation2"/>
    <dgm:cxn modelId="{2CDEFD77-7A8B-4D45-B8C3-511488C0D9AA}" type="presParOf" srcId="{576F6409-6E80-4FBB-A8D5-2EB7DAEEF0D9}" destId="{E4EF787C-4FF1-429C-A022-5E507A0793EB}" srcOrd="10" destOrd="0" presId="urn:microsoft.com/office/officeart/2005/8/layout/equation2"/>
    <dgm:cxn modelId="{4A02F7E2-F91F-4E4E-926C-B908A433C57B}" type="presParOf" srcId="{576F6409-6E80-4FBB-A8D5-2EB7DAEEF0D9}" destId="{BFE070E0-411A-4D68-92CA-2EA28739BFE2}" srcOrd="11" destOrd="0" presId="urn:microsoft.com/office/officeart/2005/8/layout/equation2"/>
    <dgm:cxn modelId="{2F3C2820-6AD5-4C2E-A3F5-5DA2D1F2F797}" type="presParOf" srcId="{576F6409-6E80-4FBB-A8D5-2EB7DAEEF0D9}" destId="{062F9E87-69C1-4157-9EEA-AA26A7964827}" srcOrd="12" destOrd="0" presId="urn:microsoft.com/office/officeart/2005/8/layout/equation2"/>
    <dgm:cxn modelId="{AEBBC7E9-C460-4535-BF20-7DE1F0CFB4D3}" type="presParOf" srcId="{576F6409-6E80-4FBB-A8D5-2EB7DAEEF0D9}" destId="{27C051DC-F796-46B6-9AE2-F27C126B19D2}" srcOrd="13" destOrd="0" presId="urn:microsoft.com/office/officeart/2005/8/layout/equation2"/>
    <dgm:cxn modelId="{951688C4-1739-44B3-AA55-511F69084C7C}" type="presParOf" srcId="{576F6409-6E80-4FBB-A8D5-2EB7DAEEF0D9}" destId="{59C6BEDB-BC77-41AB-9283-2DF427503324}" srcOrd="14" destOrd="0" presId="urn:microsoft.com/office/officeart/2005/8/layout/equation2"/>
    <dgm:cxn modelId="{8CC957B6-F1B4-44AF-A6B6-37484D78B4A2}" type="presParOf" srcId="{576F6409-6E80-4FBB-A8D5-2EB7DAEEF0D9}" destId="{796D444D-FD9F-4932-9C3F-A24EE87D988D}" srcOrd="15" destOrd="0" presId="urn:microsoft.com/office/officeart/2005/8/layout/equation2"/>
    <dgm:cxn modelId="{58D9A815-8AA0-4656-BFB5-39BDDEC55A72}" type="presParOf" srcId="{576F6409-6E80-4FBB-A8D5-2EB7DAEEF0D9}" destId="{1DADC64D-8872-4130-802C-6F833A7ABE4D}" srcOrd="16" destOrd="0" presId="urn:microsoft.com/office/officeart/2005/8/layout/equation2"/>
    <dgm:cxn modelId="{33FF1F2A-6AC6-4EA0-817E-2C51F07F22C8}" type="presParOf" srcId="{576F6409-6E80-4FBB-A8D5-2EB7DAEEF0D9}" destId="{894449FD-332B-4B35-919C-4240FF83AFD6}" srcOrd="17" destOrd="0" presId="urn:microsoft.com/office/officeart/2005/8/layout/equation2"/>
    <dgm:cxn modelId="{714F588D-35F0-40DC-B353-FCA0D2B56842}" type="presParOf" srcId="{576F6409-6E80-4FBB-A8D5-2EB7DAEEF0D9}" destId="{CB4BCE31-5B48-4716-81F7-EA972E5DFDAD}" srcOrd="18" destOrd="0" presId="urn:microsoft.com/office/officeart/2005/8/layout/equation2"/>
    <dgm:cxn modelId="{936F0C27-591C-4DE4-8F3A-B9EF035728C1}" type="presParOf" srcId="{576F6409-6E80-4FBB-A8D5-2EB7DAEEF0D9}" destId="{0E807A7E-A6F0-4FF2-A16F-8082D5D799D7}" srcOrd="19" destOrd="0" presId="urn:microsoft.com/office/officeart/2005/8/layout/equation2"/>
    <dgm:cxn modelId="{FF9E0A4D-BC43-47B2-BBB2-18B3FEC2C668}" type="presParOf" srcId="{576F6409-6E80-4FBB-A8D5-2EB7DAEEF0D9}" destId="{62FB5DFD-2EF8-4C3A-A511-04025594AF21}" srcOrd="20" destOrd="0" presId="urn:microsoft.com/office/officeart/2005/8/layout/equation2"/>
    <dgm:cxn modelId="{51DADE42-81B9-485D-8AF9-8383050B4666}" type="presParOf" srcId="{7D688B9C-D183-42A5-B52E-A312ADE986A8}" destId="{4F831F10-A5C0-4896-A8A7-BFCBBBE6A922}" srcOrd="1" destOrd="0" presId="urn:microsoft.com/office/officeart/2005/8/layout/equation2"/>
    <dgm:cxn modelId="{8F349940-BB59-4E32-A6A5-A4C4A4167528}" type="presParOf" srcId="{4F831F10-A5C0-4896-A8A7-BFCBBBE6A922}" destId="{9DD28EC1-94B0-4A9B-BAEE-D8CEBEC110F4}" srcOrd="0" destOrd="0" presId="urn:microsoft.com/office/officeart/2005/8/layout/equation2"/>
    <dgm:cxn modelId="{1AD54F73-BC33-472C-932A-69B939963365}" type="presParOf" srcId="{7D688B9C-D183-42A5-B52E-A312ADE986A8}" destId="{31187A07-B30F-4FC7-8FE0-9AA90E7D7F51}" srcOrd="2" destOrd="0" presId="urn:microsoft.com/office/officeart/2005/8/layout/equation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6860A5-0794-49A9-B2DD-ED941568DCC8}">
      <dsp:nvSpPr>
        <dsp:cNvPr id="0" name=""/>
        <dsp:cNvSpPr/>
      </dsp:nvSpPr>
      <dsp:spPr>
        <a:xfrm>
          <a:off x="2793042" y="1302379"/>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t>Patient-Centered Care</a:t>
          </a:r>
        </a:p>
      </dsp:txBody>
      <dsp:txXfrm>
        <a:off x="2903985" y="1413322"/>
        <a:ext cx="535679" cy="535679"/>
      </dsp:txXfrm>
    </dsp:sp>
    <dsp:sp modelId="{32CAAC8D-6837-4729-9F27-540EDF8E5587}">
      <dsp:nvSpPr>
        <dsp:cNvPr id="0" name=""/>
        <dsp:cNvSpPr/>
      </dsp:nvSpPr>
      <dsp:spPr>
        <a:xfrm rot="16200000">
          <a:off x="2906142" y="1025949"/>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158540" y="1023413"/>
        <a:ext cx="26568" cy="26568"/>
      </dsp:txXfrm>
    </dsp:sp>
    <dsp:sp modelId="{270FBD02-0233-49CD-A706-7E1C7EB1A1FB}">
      <dsp:nvSpPr>
        <dsp:cNvPr id="0" name=""/>
        <dsp:cNvSpPr/>
      </dsp:nvSpPr>
      <dsp:spPr>
        <a:xfrm>
          <a:off x="2793042" y="13449"/>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Coordination and integration</a:t>
          </a:r>
        </a:p>
      </dsp:txBody>
      <dsp:txXfrm>
        <a:off x="2903985" y="124392"/>
        <a:ext cx="535679" cy="535679"/>
      </dsp:txXfrm>
    </dsp:sp>
    <dsp:sp modelId="{ADAECB3F-DFFB-4B66-BB8D-BFB694E75F9D}">
      <dsp:nvSpPr>
        <dsp:cNvPr id="0" name=""/>
        <dsp:cNvSpPr/>
      </dsp:nvSpPr>
      <dsp:spPr>
        <a:xfrm rot="18900000">
          <a:off x="3361848" y="1214708"/>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614246" y="1212172"/>
        <a:ext cx="26568" cy="26568"/>
      </dsp:txXfrm>
    </dsp:sp>
    <dsp:sp modelId="{A90BA6B4-6E16-4A6C-BC43-2E11082E16DF}">
      <dsp:nvSpPr>
        <dsp:cNvPr id="0" name=""/>
        <dsp:cNvSpPr/>
      </dsp:nvSpPr>
      <dsp:spPr>
        <a:xfrm>
          <a:off x="3704453" y="390968"/>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Involvement of family and friends</a:t>
          </a:r>
        </a:p>
      </dsp:txBody>
      <dsp:txXfrm>
        <a:off x="3815396" y="501911"/>
        <a:ext cx="535679" cy="535679"/>
      </dsp:txXfrm>
    </dsp:sp>
    <dsp:sp modelId="{59E55D1C-A142-4D5F-A21A-1977D1144287}">
      <dsp:nvSpPr>
        <dsp:cNvPr id="0" name=""/>
        <dsp:cNvSpPr/>
      </dsp:nvSpPr>
      <dsp:spPr>
        <a:xfrm>
          <a:off x="3550607" y="1670414"/>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803006" y="1667878"/>
        <a:ext cx="26568" cy="26568"/>
      </dsp:txXfrm>
    </dsp:sp>
    <dsp:sp modelId="{0D0F0E33-7915-4875-B86D-4D5E7AF25132}">
      <dsp:nvSpPr>
        <dsp:cNvPr id="0" name=""/>
        <dsp:cNvSpPr/>
      </dsp:nvSpPr>
      <dsp:spPr>
        <a:xfrm>
          <a:off x="4081972" y="1302379"/>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Emotional support</a:t>
          </a:r>
        </a:p>
      </dsp:txBody>
      <dsp:txXfrm>
        <a:off x="4192915" y="1413322"/>
        <a:ext cx="535679" cy="535679"/>
      </dsp:txXfrm>
    </dsp:sp>
    <dsp:sp modelId="{F8670A7E-C943-41C0-948A-A5E524B63828}">
      <dsp:nvSpPr>
        <dsp:cNvPr id="0" name=""/>
        <dsp:cNvSpPr/>
      </dsp:nvSpPr>
      <dsp:spPr>
        <a:xfrm rot="2700000">
          <a:off x="3361848" y="2126120"/>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614246" y="2123584"/>
        <a:ext cx="26568" cy="26568"/>
      </dsp:txXfrm>
    </dsp:sp>
    <dsp:sp modelId="{60315C5A-ABB1-4C79-8CA7-B6009D21921B}">
      <dsp:nvSpPr>
        <dsp:cNvPr id="0" name=""/>
        <dsp:cNvSpPr/>
      </dsp:nvSpPr>
      <dsp:spPr>
        <a:xfrm>
          <a:off x="3704453" y="2213791"/>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Physical comfort</a:t>
          </a:r>
        </a:p>
      </dsp:txBody>
      <dsp:txXfrm>
        <a:off x="3815396" y="2324734"/>
        <a:ext cx="535679" cy="535679"/>
      </dsp:txXfrm>
    </dsp:sp>
    <dsp:sp modelId="{20870594-144C-4C77-9329-A2148ACF4BD1}">
      <dsp:nvSpPr>
        <dsp:cNvPr id="0" name=""/>
        <dsp:cNvSpPr/>
      </dsp:nvSpPr>
      <dsp:spPr>
        <a:xfrm rot="5400000">
          <a:off x="2906142" y="2314879"/>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158540" y="2312343"/>
        <a:ext cx="26568" cy="26568"/>
      </dsp:txXfrm>
    </dsp:sp>
    <dsp:sp modelId="{EF94CD0F-9CE6-4CA5-AA15-5E8465ACFBEB}">
      <dsp:nvSpPr>
        <dsp:cNvPr id="0" name=""/>
        <dsp:cNvSpPr/>
      </dsp:nvSpPr>
      <dsp:spPr>
        <a:xfrm>
          <a:off x="2793042" y="2591310"/>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Information and education</a:t>
          </a:r>
        </a:p>
      </dsp:txBody>
      <dsp:txXfrm>
        <a:off x="2903985" y="2702253"/>
        <a:ext cx="535679" cy="535679"/>
      </dsp:txXfrm>
    </dsp:sp>
    <dsp:sp modelId="{9A84D5C0-F5D1-4A30-967C-D06C97072EDD}">
      <dsp:nvSpPr>
        <dsp:cNvPr id="0" name=""/>
        <dsp:cNvSpPr/>
      </dsp:nvSpPr>
      <dsp:spPr>
        <a:xfrm rot="8100000">
          <a:off x="2450436" y="2126120"/>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702835" y="2123584"/>
        <a:ext cx="26568" cy="26568"/>
      </dsp:txXfrm>
    </dsp:sp>
    <dsp:sp modelId="{2B05FE2D-5E9D-4895-B849-2EC7D80B7D86}">
      <dsp:nvSpPr>
        <dsp:cNvPr id="0" name=""/>
        <dsp:cNvSpPr/>
      </dsp:nvSpPr>
      <dsp:spPr>
        <a:xfrm>
          <a:off x="1881631" y="2213791"/>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Respect for patients' preferences</a:t>
          </a:r>
        </a:p>
      </dsp:txBody>
      <dsp:txXfrm>
        <a:off x="1992574" y="2324734"/>
        <a:ext cx="535679" cy="535679"/>
      </dsp:txXfrm>
    </dsp:sp>
    <dsp:sp modelId="{11435A4A-630A-4E40-AB1D-DC9CFCC686F3}">
      <dsp:nvSpPr>
        <dsp:cNvPr id="0" name=""/>
        <dsp:cNvSpPr/>
      </dsp:nvSpPr>
      <dsp:spPr>
        <a:xfrm rot="10800000">
          <a:off x="2261677" y="1670414"/>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514075" y="1667878"/>
        <a:ext cx="26568" cy="26568"/>
      </dsp:txXfrm>
    </dsp:sp>
    <dsp:sp modelId="{8E86B0C8-6AA7-448B-8B56-DC1E4A63F6BF}">
      <dsp:nvSpPr>
        <dsp:cNvPr id="0" name=""/>
        <dsp:cNvSpPr/>
      </dsp:nvSpPr>
      <dsp:spPr>
        <a:xfrm>
          <a:off x="1504112" y="1302379"/>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Continuity and transition</a:t>
          </a:r>
        </a:p>
      </dsp:txBody>
      <dsp:txXfrm>
        <a:off x="1615055" y="1413322"/>
        <a:ext cx="535679" cy="535679"/>
      </dsp:txXfrm>
    </dsp:sp>
    <dsp:sp modelId="{F892D744-2676-483B-8417-4F728D904ADB}">
      <dsp:nvSpPr>
        <dsp:cNvPr id="0" name=""/>
        <dsp:cNvSpPr/>
      </dsp:nvSpPr>
      <dsp:spPr>
        <a:xfrm rot="13500000">
          <a:off x="2450436" y="1214708"/>
          <a:ext cx="531365" cy="21495"/>
        </a:xfrm>
        <a:custGeom>
          <a:avLst/>
          <a:gdLst/>
          <a:ahLst/>
          <a:cxnLst/>
          <a:rect l="0" t="0" r="0" b="0"/>
          <a:pathLst>
            <a:path>
              <a:moveTo>
                <a:pt x="0" y="10747"/>
              </a:moveTo>
              <a:lnTo>
                <a:pt x="531365" y="10747"/>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702835" y="1212172"/>
        <a:ext cx="26568" cy="26568"/>
      </dsp:txXfrm>
    </dsp:sp>
    <dsp:sp modelId="{364DE4A2-AD69-40F6-99B0-4441DC11AE84}">
      <dsp:nvSpPr>
        <dsp:cNvPr id="0" name=""/>
        <dsp:cNvSpPr/>
      </dsp:nvSpPr>
      <dsp:spPr>
        <a:xfrm>
          <a:off x="1881631" y="390968"/>
          <a:ext cx="757565" cy="757565"/>
        </a:xfrm>
        <a:prstGeom prst="ellipse">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Acess to care</a:t>
          </a:r>
        </a:p>
      </dsp:txBody>
      <dsp:txXfrm>
        <a:off x="1992574" y="501911"/>
        <a:ext cx="535679" cy="5356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03596C-9887-4629-B4A5-6C6E8A2DA679}">
      <dsp:nvSpPr>
        <dsp:cNvPr id="0" name=""/>
        <dsp:cNvSpPr/>
      </dsp:nvSpPr>
      <dsp:spPr>
        <a:xfrm>
          <a:off x="1590947" y="483706"/>
          <a:ext cx="3199854" cy="3199854"/>
        </a:xfrm>
        <a:prstGeom prst="blockArc">
          <a:avLst>
            <a:gd name="adj1" fmla="val 12600000"/>
            <a:gd name="adj2" fmla="val 162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6DCA853-0018-4FBF-B9A7-2AF634860385}">
      <dsp:nvSpPr>
        <dsp:cNvPr id="0" name=""/>
        <dsp:cNvSpPr/>
      </dsp:nvSpPr>
      <dsp:spPr>
        <a:xfrm>
          <a:off x="1590947" y="483706"/>
          <a:ext cx="3199854" cy="3199854"/>
        </a:xfrm>
        <a:prstGeom prst="blockArc">
          <a:avLst>
            <a:gd name="adj1" fmla="val 9000000"/>
            <a:gd name="adj2" fmla="val 126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6F64571-13D2-41D0-A8CA-FE1096F9E140}">
      <dsp:nvSpPr>
        <dsp:cNvPr id="0" name=""/>
        <dsp:cNvSpPr/>
      </dsp:nvSpPr>
      <dsp:spPr>
        <a:xfrm>
          <a:off x="1590947" y="483706"/>
          <a:ext cx="3199854" cy="3199854"/>
        </a:xfrm>
        <a:prstGeom prst="blockArc">
          <a:avLst>
            <a:gd name="adj1" fmla="val 5400000"/>
            <a:gd name="adj2" fmla="val 90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678CC52-4B4F-41EC-BF23-58CBE3D5E6D1}">
      <dsp:nvSpPr>
        <dsp:cNvPr id="0" name=""/>
        <dsp:cNvSpPr/>
      </dsp:nvSpPr>
      <dsp:spPr>
        <a:xfrm>
          <a:off x="1590947" y="483706"/>
          <a:ext cx="3199854" cy="3199854"/>
        </a:xfrm>
        <a:prstGeom prst="blockArc">
          <a:avLst>
            <a:gd name="adj1" fmla="val 1800000"/>
            <a:gd name="adj2" fmla="val 54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2F92033-A00A-46CF-97D0-4F0594A67650}">
      <dsp:nvSpPr>
        <dsp:cNvPr id="0" name=""/>
        <dsp:cNvSpPr/>
      </dsp:nvSpPr>
      <dsp:spPr>
        <a:xfrm>
          <a:off x="1590947" y="483706"/>
          <a:ext cx="3199854" cy="3199854"/>
        </a:xfrm>
        <a:prstGeom prst="blockArc">
          <a:avLst>
            <a:gd name="adj1" fmla="val 19800000"/>
            <a:gd name="adj2" fmla="val 18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10D1142-9DF4-4448-91F9-1ACE84C7D8CB}">
      <dsp:nvSpPr>
        <dsp:cNvPr id="0" name=""/>
        <dsp:cNvSpPr/>
      </dsp:nvSpPr>
      <dsp:spPr>
        <a:xfrm>
          <a:off x="1590947" y="483706"/>
          <a:ext cx="3199854" cy="3199854"/>
        </a:xfrm>
        <a:prstGeom prst="blockArc">
          <a:avLst>
            <a:gd name="adj1" fmla="val 16200000"/>
            <a:gd name="adj2" fmla="val 19800000"/>
            <a:gd name="adj3" fmla="val 4515"/>
          </a:avLst>
        </a:prstGeom>
        <a:gradFill rotWithShape="0">
          <a:gsLst>
            <a:gs pos="0">
              <a:schemeClr val="accent4">
                <a:tint val="60000"/>
                <a:hueOff val="0"/>
                <a:satOff val="0"/>
                <a:lumOff val="0"/>
                <a:alphaOff val="0"/>
                <a:satMod val="103000"/>
                <a:lumMod val="102000"/>
                <a:tint val="94000"/>
              </a:schemeClr>
            </a:gs>
            <a:gs pos="50000">
              <a:schemeClr val="accent4">
                <a:tint val="60000"/>
                <a:hueOff val="0"/>
                <a:satOff val="0"/>
                <a:lumOff val="0"/>
                <a:alphaOff val="0"/>
                <a:satMod val="110000"/>
                <a:lumMod val="100000"/>
                <a:shade val="100000"/>
              </a:schemeClr>
            </a:gs>
            <a:gs pos="100000">
              <a:schemeClr val="accent4">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2FF59F7-21D7-4AD7-B29A-B81DC229F408}">
      <dsp:nvSpPr>
        <dsp:cNvPr id="0" name=""/>
        <dsp:cNvSpPr/>
      </dsp:nvSpPr>
      <dsp:spPr>
        <a:xfrm>
          <a:off x="2400304" y="1340687"/>
          <a:ext cx="1581141" cy="1485892"/>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US" sz="1800" kern="1200"/>
            <a:t>Elements of Patient-centered care</a:t>
          </a:r>
        </a:p>
      </dsp:txBody>
      <dsp:txXfrm>
        <a:off x="2631857" y="1558291"/>
        <a:ext cx="1118035" cy="1050684"/>
      </dsp:txXfrm>
    </dsp:sp>
    <dsp:sp modelId="{0B2A9ECB-A828-4A40-ADCB-A15E83B1FD8D}">
      <dsp:nvSpPr>
        <dsp:cNvPr id="0" name=""/>
        <dsp:cNvSpPr/>
      </dsp:nvSpPr>
      <dsp:spPr>
        <a:xfrm>
          <a:off x="2657472" y="-15279"/>
          <a:ext cx="1066804" cy="1070215"/>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Collaboration and team management</a:t>
          </a:r>
        </a:p>
      </dsp:txBody>
      <dsp:txXfrm>
        <a:off x="2813702" y="141450"/>
        <a:ext cx="754344" cy="756757"/>
      </dsp:txXfrm>
    </dsp:sp>
    <dsp:sp modelId="{8C8A51E5-BEDF-4EE2-A243-0694050872DF}">
      <dsp:nvSpPr>
        <dsp:cNvPr id="0" name=""/>
        <dsp:cNvSpPr/>
      </dsp:nvSpPr>
      <dsp:spPr>
        <a:xfrm>
          <a:off x="4043479" y="800040"/>
          <a:ext cx="1003380" cy="100338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Respect for patient's needs and preferences</a:t>
          </a:r>
        </a:p>
      </dsp:txBody>
      <dsp:txXfrm>
        <a:off x="4190421" y="946982"/>
        <a:ext cx="709496" cy="709496"/>
      </dsp:txXfrm>
    </dsp:sp>
    <dsp:sp modelId="{95007D54-A0DD-4628-A6AD-41867D274A9D}">
      <dsp:nvSpPr>
        <dsp:cNvPr id="0" name=""/>
        <dsp:cNvSpPr/>
      </dsp:nvSpPr>
      <dsp:spPr>
        <a:xfrm>
          <a:off x="4043479" y="2363846"/>
          <a:ext cx="1003380" cy="100338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Sensitivity to non-medical and spiritual dimensions</a:t>
          </a:r>
        </a:p>
      </dsp:txBody>
      <dsp:txXfrm>
        <a:off x="4190421" y="2510788"/>
        <a:ext cx="709496" cy="709496"/>
      </dsp:txXfrm>
    </dsp:sp>
    <dsp:sp modelId="{7B1E75FE-5A63-4E30-9B26-9041C7BCF1A1}">
      <dsp:nvSpPr>
        <dsp:cNvPr id="0" name=""/>
        <dsp:cNvSpPr/>
      </dsp:nvSpPr>
      <dsp:spPr>
        <a:xfrm>
          <a:off x="2689184" y="3145748"/>
          <a:ext cx="1003380" cy="100338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Free-flowing, accesible information</a:t>
          </a:r>
        </a:p>
      </dsp:txBody>
      <dsp:txXfrm>
        <a:off x="2836126" y="3292690"/>
        <a:ext cx="709496" cy="709496"/>
      </dsp:txXfrm>
    </dsp:sp>
    <dsp:sp modelId="{166FCE2A-E330-430A-B196-A90CBA590275}">
      <dsp:nvSpPr>
        <dsp:cNvPr id="0" name=""/>
        <dsp:cNvSpPr/>
      </dsp:nvSpPr>
      <dsp:spPr>
        <a:xfrm>
          <a:off x="1334889" y="2363846"/>
          <a:ext cx="1003380" cy="100338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Involvement of family and friends</a:t>
          </a:r>
        </a:p>
      </dsp:txBody>
      <dsp:txXfrm>
        <a:off x="1481831" y="2510788"/>
        <a:ext cx="709496" cy="709496"/>
      </dsp:txXfrm>
    </dsp:sp>
    <dsp:sp modelId="{F5D31265-50AC-4E8B-82EA-FFD2C41246F8}">
      <dsp:nvSpPr>
        <dsp:cNvPr id="0" name=""/>
        <dsp:cNvSpPr/>
      </dsp:nvSpPr>
      <dsp:spPr>
        <a:xfrm>
          <a:off x="1334889" y="800040"/>
          <a:ext cx="1003380" cy="100338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Education and shared knowledge</a:t>
          </a:r>
        </a:p>
      </dsp:txBody>
      <dsp:txXfrm>
        <a:off x="1481831" y="946982"/>
        <a:ext cx="709496" cy="7094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B399B4-3B9D-421C-A741-346A38B4E77F}">
      <dsp:nvSpPr>
        <dsp:cNvPr id="0" name=""/>
        <dsp:cNvSpPr/>
      </dsp:nvSpPr>
      <dsp:spPr>
        <a:xfrm>
          <a:off x="0" y="0"/>
          <a:ext cx="5486400" cy="3200400"/>
        </a:xfrm>
        <a:prstGeom prst="roundRect">
          <a:avLst>
            <a:gd name="adj" fmla="val 8500"/>
          </a:avLst>
        </a:prstGeom>
        <a:solidFill>
          <a:schemeClr val="accent5">
            <a:hueOff val="0"/>
            <a:satOff val="0"/>
            <a:lumOff val="0"/>
            <a:alphaOff val="0"/>
          </a:schemeClr>
        </a:solidFill>
        <a:ln w="12700" cap="flat" cmpd="sng" algn="ctr">
          <a:solidFill>
            <a:schemeClr val="tx2"/>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2483866" numCol="1" spcCol="1270" anchor="t" anchorCtr="0">
          <a:noAutofit/>
        </a:bodyPr>
        <a:lstStyle/>
        <a:p>
          <a:pPr marL="0" lvl="0" indent="0" algn="l" defTabSz="800100">
            <a:lnSpc>
              <a:spcPct val="90000"/>
            </a:lnSpc>
            <a:spcBef>
              <a:spcPct val="0"/>
            </a:spcBef>
            <a:spcAft>
              <a:spcPct val="35000"/>
            </a:spcAft>
            <a:buNone/>
          </a:pPr>
          <a:r>
            <a:rPr lang="en-US" sz="1800" kern="1200"/>
            <a:t>Patient-centered measures of health system quality</a:t>
          </a:r>
        </a:p>
      </dsp:txBody>
      <dsp:txXfrm>
        <a:off x="79676" y="79676"/>
        <a:ext cx="5327048" cy="3041048"/>
      </dsp:txXfrm>
    </dsp:sp>
    <dsp:sp modelId="{C73E5F3D-91D5-42E5-B544-20E593B8F1A7}">
      <dsp:nvSpPr>
        <dsp:cNvPr id="0" name=""/>
        <dsp:cNvSpPr/>
      </dsp:nvSpPr>
      <dsp:spPr>
        <a:xfrm>
          <a:off x="137160" y="800100"/>
          <a:ext cx="822960" cy="1099356"/>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Patient's Experience of Care</a:t>
          </a:r>
        </a:p>
      </dsp:txBody>
      <dsp:txXfrm>
        <a:off x="162469" y="825409"/>
        <a:ext cx="772342" cy="1048738"/>
      </dsp:txXfrm>
    </dsp:sp>
    <dsp:sp modelId="{2EEC8F06-1C72-4380-8304-1BBB363ED1DD}">
      <dsp:nvSpPr>
        <dsp:cNvPr id="0" name=""/>
        <dsp:cNvSpPr/>
      </dsp:nvSpPr>
      <dsp:spPr>
        <a:xfrm>
          <a:off x="137160" y="1939840"/>
          <a:ext cx="822960" cy="1099356"/>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1351709"/>
              <a:satOff val="-3484"/>
              <a:lumOff val="-2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Health Outcomes, Satisfaction with Care</a:t>
          </a:r>
        </a:p>
      </dsp:txBody>
      <dsp:txXfrm>
        <a:off x="162469" y="1965149"/>
        <a:ext cx="772342" cy="1048738"/>
      </dsp:txXfrm>
    </dsp:sp>
    <dsp:sp modelId="{90A6DEE3-D3D5-4739-910C-5D7E80A46032}">
      <dsp:nvSpPr>
        <dsp:cNvPr id="0" name=""/>
        <dsp:cNvSpPr/>
      </dsp:nvSpPr>
      <dsp:spPr>
        <a:xfrm>
          <a:off x="1097280" y="800100"/>
          <a:ext cx="4251960" cy="2240280"/>
        </a:xfrm>
        <a:prstGeom prst="roundRect">
          <a:avLst>
            <a:gd name="adj" fmla="val 105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1422578" numCol="1" spcCol="1270" anchor="t" anchorCtr="0">
          <a:noAutofit/>
        </a:bodyPr>
        <a:lstStyle/>
        <a:p>
          <a:pPr marL="0" lvl="0" indent="0" algn="l" defTabSz="800100">
            <a:lnSpc>
              <a:spcPct val="90000"/>
            </a:lnSpc>
            <a:spcBef>
              <a:spcPct val="0"/>
            </a:spcBef>
            <a:spcAft>
              <a:spcPct val="35000"/>
            </a:spcAft>
            <a:buNone/>
          </a:pPr>
          <a:r>
            <a:rPr lang="en-US" sz="1800" kern="1200"/>
            <a:t>Patient's needs, expectations and values</a:t>
          </a:r>
        </a:p>
      </dsp:txBody>
      <dsp:txXfrm>
        <a:off x="1166176" y="868996"/>
        <a:ext cx="4114168" cy="2102488"/>
      </dsp:txXfrm>
    </dsp:sp>
    <dsp:sp modelId="{57AB24DF-9DCD-4B88-98F1-4AF870F12E02}">
      <dsp:nvSpPr>
        <dsp:cNvPr id="0" name=""/>
        <dsp:cNvSpPr/>
      </dsp:nvSpPr>
      <dsp:spPr>
        <a:xfrm>
          <a:off x="1203579" y="1584198"/>
          <a:ext cx="850392" cy="623952"/>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2703417"/>
              <a:satOff val="-6968"/>
              <a:lumOff val="-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Effective Communication</a:t>
          </a:r>
        </a:p>
      </dsp:txBody>
      <dsp:txXfrm>
        <a:off x="1222768" y="1603387"/>
        <a:ext cx="812014" cy="585574"/>
      </dsp:txXfrm>
    </dsp:sp>
    <dsp:sp modelId="{4ED1A0F8-83DD-47CB-A136-026E321CB706}">
      <dsp:nvSpPr>
        <dsp:cNvPr id="0" name=""/>
        <dsp:cNvSpPr/>
      </dsp:nvSpPr>
      <dsp:spPr>
        <a:xfrm>
          <a:off x="1203579" y="2248013"/>
          <a:ext cx="850392" cy="623952"/>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4055126"/>
              <a:satOff val="-10451"/>
              <a:lumOff val="-705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Respect, Dignity, Emotional Support</a:t>
          </a:r>
        </a:p>
      </dsp:txBody>
      <dsp:txXfrm>
        <a:off x="1222768" y="2267202"/>
        <a:ext cx="812014" cy="585574"/>
      </dsp:txXfrm>
    </dsp:sp>
    <dsp:sp modelId="{7EBD06B6-96FC-4C71-BBFD-C82A73A6D2CA}">
      <dsp:nvSpPr>
        <dsp:cNvPr id="0" name=""/>
        <dsp:cNvSpPr/>
      </dsp:nvSpPr>
      <dsp:spPr>
        <a:xfrm>
          <a:off x="2167128" y="1600200"/>
          <a:ext cx="3044952" cy="1280160"/>
        </a:xfrm>
        <a:prstGeom prst="roundRect">
          <a:avLst>
            <a:gd name="adj" fmla="val 105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722579" numCol="1" spcCol="1270" anchor="t" anchorCtr="0">
          <a:noAutofit/>
        </a:bodyPr>
        <a:lstStyle/>
        <a:p>
          <a:pPr marL="0" lvl="0" indent="0" algn="l" defTabSz="800100">
            <a:lnSpc>
              <a:spcPct val="90000"/>
            </a:lnSpc>
            <a:spcBef>
              <a:spcPct val="0"/>
            </a:spcBef>
            <a:spcAft>
              <a:spcPct val="35000"/>
            </a:spcAft>
            <a:buNone/>
          </a:pPr>
          <a:r>
            <a:rPr lang="en-US" sz="1800" kern="1200"/>
            <a:t>Context of Healthcare System</a:t>
          </a:r>
        </a:p>
      </dsp:txBody>
      <dsp:txXfrm>
        <a:off x="2206497" y="1639569"/>
        <a:ext cx="2966214" cy="1201422"/>
      </dsp:txXfrm>
    </dsp:sp>
    <dsp:sp modelId="{2351E0F9-828B-4C50-954F-7318CFD10C6C}">
      <dsp:nvSpPr>
        <dsp:cNvPr id="0" name=""/>
        <dsp:cNvSpPr/>
      </dsp:nvSpPr>
      <dsp:spPr>
        <a:xfrm>
          <a:off x="2243251" y="2176272"/>
          <a:ext cx="1425165" cy="576072"/>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5406834"/>
              <a:satOff val="-13935"/>
              <a:lumOff val="-941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Facility Characteristics and Type of Service</a:t>
          </a:r>
        </a:p>
      </dsp:txBody>
      <dsp:txXfrm>
        <a:off x="2260967" y="2193988"/>
        <a:ext cx="1389733" cy="540640"/>
      </dsp:txXfrm>
    </dsp:sp>
    <dsp:sp modelId="{120D9653-4D76-4703-A129-C8D320C212C8}">
      <dsp:nvSpPr>
        <dsp:cNvPr id="0" name=""/>
        <dsp:cNvSpPr/>
      </dsp:nvSpPr>
      <dsp:spPr>
        <a:xfrm>
          <a:off x="3708962" y="2176272"/>
          <a:ext cx="1425165" cy="576072"/>
        </a:xfrm>
        <a:prstGeom prst="roundRect">
          <a:avLst>
            <a:gd name="adj" fmla="val 10500"/>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Patient Characteristics</a:t>
          </a:r>
        </a:p>
      </dsp:txBody>
      <dsp:txXfrm>
        <a:off x="3726678" y="2193988"/>
        <a:ext cx="1389733" cy="54064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AF12D9-90E9-4A88-93D0-12B73497A4E0}">
      <dsp:nvSpPr>
        <dsp:cNvPr id="0" name=""/>
        <dsp:cNvSpPr/>
      </dsp:nvSpPr>
      <dsp:spPr>
        <a:xfrm>
          <a:off x="2431670" y="1216814"/>
          <a:ext cx="1546624" cy="1337892"/>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t>Implementation of Health Information Technology</a:t>
          </a:r>
        </a:p>
      </dsp:txBody>
      <dsp:txXfrm>
        <a:off x="2687967" y="1438521"/>
        <a:ext cx="1034030" cy="894478"/>
      </dsp:txXfrm>
    </dsp:sp>
    <dsp:sp modelId="{DEB99D9B-C8AF-4083-8B0E-D92640F341CF}">
      <dsp:nvSpPr>
        <dsp:cNvPr id="0" name=""/>
        <dsp:cNvSpPr/>
      </dsp:nvSpPr>
      <dsp:spPr>
        <a:xfrm>
          <a:off x="3400154" y="576723"/>
          <a:ext cx="583536" cy="502794"/>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571DBBDE-2D2B-47D0-8609-96780D76415A}">
      <dsp:nvSpPr>
        <dsp:cNvPr id="0" name=""/>
        <dsp:cNvSpPr/>
      </dsp:nvSpPr>
      <dsp:spPr>
        <a:xfrm>
          <a:off x="2574136" y="0"/>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Increased effectiveness and efficiecny of care</a:t>
          </a:r>
        </a:p>
      </dsp:txBody>
      <dsp:txXfrm>
        <a:off x="2784179" y="181712"/>
        <a:ext cx="847361" cy="733067"/>
      </dsp:txXfrm>
    </dsp:sp>
    <dsp:sp modelId="{16CE82D8-4980-4C2F-A559-B285909FF436}">
      <dsp:nvSpPr>
        <dsp:cNvPr id="0" name=""/>
        <dsp:cNvSpPr/>
      </dsp:nvSpPr>
      <dsp:spPr>
        <a:xfrm>
          <a:off x="4081187" y="1516680"/>
          <a:ext cx="583536" cy="502794"/>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44E3C31A-D99D-4926-AEA6-A8A8C4C9A4CA}">
      <dsp:nvSpPr>
        <dsp:cNvPr id="0" name=""/>
        <dsp:cNvSpPr/>
      </dsp:nvSpPr>
      <dsp:spPr>
        <a:xfrm>
          <a:off x="3736533" y="674415"/>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Reduction in prescribing errors, easy prescriptions</a:t>
          </a:r>
        </a:p>
      </dsp:txBody>
      <dsp:txXfrm>
        <a:off x="3946576" y="856127"/>
        <a:ext cx="847361" cy="733067"/>
      </dsp:txXfrm>
    </dsp:sp>
    <dsp:sp modelId="{507F427B-EAEF-4236-A94C-C4B1C64EEBAB}">
      <dsp:nvSpPr>
        <dsp:cNvPr id="0" name=""/>
        <dsp:cNvSpPr/>
      </dsp:nvSpPr>
      <dsp:spPr>
        <a:xfrm>
          <a:off x="3608097" y="2577716"/>
          <a:ext cx="583536" cy="502794"/>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075087F-EA96-4417-866F-A0F14608EFEC}">
      <dsp:nvSpPr>
        <dsp:cNvPr id="0" name=""/>
        <dsp:cNvSpPr/>
      </dsp:nvSpPr>
      <dsp:spPr>
        <a:xfrm>
          <a:off x="3736533" y="2000238"/>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Increased patient safety, reduction in medical errors</a:t>
          </a:r>
        </a:p>
      </dsp:txBody>
      <dsp:txXfrm>
        <a:off x="3946576" y="2181950"/>
        <a:ext cx="847361" cy="733067"/>
      </dsp:txXfrm>
    </dsp:sp>
    <dsp:sp modelId="{57FC4C0D-CD87-48D2-B62C-4FCCEC05D516}">
      <dsp:nvSpPr>
        <dsp:cNvPr id="0" name=""/>
        <dsp:cNvSpPr/>
      </dsp:nvSpPr>
      <dsp:spPr>
        <a:xfrm>
          <a:off x="2434548" y="2687855"/>
          <a:ext cx="583536" cy="502794"/>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938A1CC2-E8B2-422C-B54D-AAEB5BE626E9}">
      <dsp:nvSpPr>
        <dsp:cNvPr id="0" name=""/>
        <dsp:cNvSpPr/>
      </dsp:nvSpPr>
      <dsp:spPr>
        <a:xfrm>
          <a:off x="2574136" y="2675408"/>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Increased patient satisfaction</a:t>
          </a:r>
        </a:p>
      </dsp:txBody>
      <dsp:txXfrm>
        <a:off x="2784179" y="2857120"/>
        <a:ext cx="847361" cy="733067"/>
      </dsp:txXfrm>
    </dsp:sp>
    <dsp:sp modelId="{A1AC6843-6C0E-4EF2-830F-87AD3A8C6F2A}">
      <dsp:nvSpPr>
        <dsp:cNvPr id="0" name=""/>
        <dsp:cNvSpPr/>
      </dsp:nvSpPr>
      <dsp:spPr>
        <a:xfrm>
          <a:off x="1742362" y="1748275"/>
          <a:ext cx="583536" cy="502794"/>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01934F0C-B66C-4D19-931D-E0C486E1C5C6}">
      <dsp:nvSpPr>
        <dsp:cNvPr id="0" name=""/>
        <dsp:cNvSpPr/>
      </dsp:nvSpPr>
      <dsp:spPr>
        <a:xfrm>
          <a:off x="1406343" y="2000992"/>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Improved care processes</a:t>
          </a:r>
        </a:p>
      </dsp:txBody>
      <dsp:txXfrm>
        <a:off x="1616386" y="2182704"/>
        <a:ext cx="847361" cy="733067"/>
      </dsp:txXfrm>
    </dsp:sp>
    <dsp:sp modelId="{B9E483FB-C6C5-43F4-AF29-A3BAD1246E52}">
      <dsp:nvSpPr>
        <dsp:cNvPr id="0" name=""/>
        <dsp:cNvSpPr/>
      </dsp:nvSpPr>
      <dsp:spPr>
        <a:xfrm>
          <a:off x="1406343" y="672906"/>
          <a:ext cx="1267447" cy="1096491"/>
        </a:xfrm>
        <a:prstGeom prst="hexagon">
          <a:avLst>
            <a:gd name="adj" fmla="val 28570"/>
            <a:gd name="vf" fmla="val 11547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Improved access to care and preventative care</a:t>
          </a:r>
        </a:p>
      </dsp:txBody>
      <dsp:txXfrm>
        <a:off x="1616386" y="854618"/>
        <a:ext cx="847361" cy="73306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3BE032-ED0B-45BC-99ED-17CA7F73FF15}">
      <dsp:nvSpPr>
        <dsp:cNvPr id="0" name=""/>
        <dsp:cNvSpPr/>
      </dsp:nvSpPr>
      <dsp:spPr>
        <a:xfrm>
          <a:off x="880223" y="1410"/>
          <a:ext cx="1707352" cy="547668"/>
        </a:xfrm>
        <a:prstGeom prst="ellipse">
          <a:avLst/>
        </a:prstGeom>
        <a:gradFill rotWithShape="0">
          <a:gsLst>
            <a:gs pos="0">
              <a:schemeClr val="accent6">
                <a:alpha val="90000"/>
                <a:hueOff val="0"/>
                <a:satOff val="0"/>
                <a:lumOff val="0"/>
                <a:alphaOff val="0"/>
                <a:satMod val="103000"/>
                <a:lumMod val="102000"/>
                <a:tint val="94000"/>
              </a:schemeClr>
            </a:gs>
            <a:gs pos="50000">
              <a:schemeClr val="accent6">
                <a:alpha val="90000"/>
                <a:hueOff val="0"/>
                <a:satOff val="0"/>
                <a:lumOff val="0"/>
                <a:alphaOff val="0"/>
                <a:satMod val="110000"/>
                <a:lumMod val="100000"/>
                <a:shade val="100000"/>
              </a:schemeClr>
            </a:gs>
            <a:gs pos="100000">
              <a:schemeClr val="accent6">
                <a:alpha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Sociodemographic factors</a:t>
          </a:r>
        </a:p>
      </dsp:txBody>
      <dsp:txXfrm>
        <a:off x="1130259" y="81614"/>
        <a:ext cx="1207280" cy="387260"/>
      </dsp:txXfrm>
    </dsp:sp>
    <dsp:sp modelId="{30B9B24B-41EE-412F-918D-E498E6A37B70}">
      <dsp:nvSpPr>
        <dsp:cNvPr id="0" name=""/>
        <dsp:cNvSpPr/>
      </dsp:nvSpPr>
      <dsp:spPr>
        <a:xfrm>
          <a:off x="1603741" y="585522"/>
          <a:ext cx="260317" cy="260317"/>
        </a:xfrm>
        <a:prstGeom prst="mathPlus">
          <a:avLst/>
        </a:prstGeom>
        <a:gradFill rotWithShape="0">
          <a:gsLst>
            <a:gs pos="0">
              <a:schemeClr val="accent6">
                <a:shade val="90000"/>
                <a:hueOff val="0"/>
                <a:satOff val="0"/>
                <a:lumOff val="0"/>
                <a:alphaOff val="0"/>
                <a:satMod val="103000"/>
                <a:lumMod val="102000"/>
                <a:tint val="94000"/>
              </a:schemeClr>
            </a:gs>
            <a:gs pos="50000">
              <a:schemeClr val="accent6">
                <a:shade val="90000"/>
                <a:hueOff val="0"/>
                <a:satOff val="0"/>
                <a:lumOff val="0"/>
                <a:alphaOff val="0"/>
                <a:satMod val="110000"/>
                <a:lumMod val="100000"/>
                <a:shade val="100000"/>
              </a:schemeClr>
            </a:gs>
            <a:gs pos="100000">
              <a:schemeClr val="accent6">
                <a:shade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8246" y="685067"/>
        <a:ext cx="191307" cy="61227"/>
      </dsp:txXfrm>
    </dsp:sp>
    <dsp:sp modelId="{F0A2BFFD-9BB1-4B8C-A8C1-1085A6E45A14}">
      <dsp:nvSpPr>
        <dsp:cNvPr id="0" name=""/>
        <dsp:cNvSpPr/>
      </dsp:nvSpPr>
      <dsp:spPr>
        <a:xfrm>
          <a:off x="1273014" y="882285"/>
          <a:ext cx="921771" cy="703998"/>
        </a:xfrm>
        <a:prstGeom prst="ellipse">
          <a:avLst/>
        </a:prstGeom>
        <a:gradFill rotWithShape="0">
          <a:gsLst>
            <a:gs pos="0">
              <a:schemeClr val="accent6">
                <a:alpha val="90000"/>
                <a:hueOff val="0"/>
                <a:satOff val="0"/>
                <a:lumOff val="0"/>
                <a:alphaOff val="-6667"/>
                <a:satMod val="103000"/>
                <a:lumMod val="102000"/>
                <a:tint val="94000"/>
              </a:schemeClr>
            </a:gs>
            <a:gs pos="50000">
              <a:schemeClr val="accent6">
                <a:alpha val="90000"/>
                <a:hueOff val="0"/>
                <a:satOff val="0"/>
                <a:lumOff val="0"/>
                <a:alphaOff val="-6667"/>
                <a:satMod val="110000"/>
                <a:lumMod val="100000"/>
                <a:shade val="100000"/>
              </a:schemeClr>
            </a:gs>
            <a:gs pos="100000">
              <a:schemeClr val="accent6">
                <a:alpha val="90000"/>
                <a:hueOff val="0"/>
                <a:satOff val="0"/>
                <a:lumOff val="0"/>
                <a:alphaOff val="-6667"/>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Educational and occupational status</a:t>
          </a:r>
        </a:p>
      </dsp:txBody>
      <dsp:txXfrm>
        <a:off x="1408004" y="985383"/>
        <a:ext cx="651791" cy="497802"/>
      </dsp:txXfrm>
    </dsp:sp>
    <dsp:sp modelId="{FFE446A3-BDD7-4D53-9532-D6D89F1B86E7}">
      <dsp:nvSpPr>
        <dsp:cNvPr id="0" name=""/>
        <dsp:cNvSpPr/>
      </dsp:nvSpPr>
      <dsp:spPr>
        <a:xfrm>
          <a:off x="1603741" y="1622727"/>
          <a:ext cx="260317" cy="260317"/>
        </a:xfrm>
        <a:prstGeom prst="mathPlus">
          <a:avLst/>
        </a:prstGeom>
        <a:gradFill rotWithShape="0">
          <a:gsLst>
            <a:gs pos="0">
              <a:schemeClr val="accent6">
                <a:shade val="90000"/>
                <a:hueOff val="75974"/>
                <a:satOff val="-3035"/>
                <a:lumOff val="7038"/>
                <a:alphaOff val="0"/>
                <a:satMod val="103000"/>
                <a:lumMod val="102000"/>
                <a:tint val="94000"/>
              </a:schemeClr>
            </a:gs>
            <a:gs pos="50000">
              <a:schemeClr val="accent6">
                <a:shade val="90000"/>
                <a:hueOff val="75974"/>
                <a:satOff val="-3035"/>
                <a:lumOff val="7038"/>
                <a:alphaOff val="0"/>
                <a:satMod val="110000"/>
                <a:lumMod val="100000"/>
                <a:shade val="100000"/>
              </a:schemeClr>
            </a:gs>
            <a:gs pos="100000">
              <a:schemeClr val="accent6">
                <a:shade val="90000"/>
                <a:hueOff val="75974"/>
                <a:satOff val="-3035"/>
                <a:lumOff val="703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8246" y="1722272"/>
        <a:ext cx="191307" cy="61227"/>
      </dsp:txXfrm>
    </dsp:sp>
    <dsp:sp modelId="{ADD7333C-1225-40B2-AEC2-1006BB9C2A3D}">
      <dsp:nvSpPr>
        <dsp:cNvPr id="0" name=""/>
        <dsp:cNvSpPr/>
      </dsp:nvSpPr>
      <dsp:spPr>
        <a:xfrm>
          <a:off x="1310733" y="1919489"/>
          <a:ext cx="846333" cy="448823"/>
        </a:xfrm>
        <a:prstGeom prst="ellipse">
          <a:avLst/>
        </a:prstGeom>
        <a:gradFill rotWithShape="0">
          <a:gsLst>
            <a:gs pos="0">
              <a:schemeClr val="accent6">
                <a:alpha val="90000"/>
                <a:hueOff val="0"/>
                <a:satOff val="0"/>
                <a:lumOff val="0"/>
                <a:alphaOff val="-13333"/>
                <a:satMod val="103000"/>
                <a:lumMod val="102000"/>
                <a:tint val="94000"/>
              </a:schemeClr>
            </a:gs>
            <a:gs pos="50000">
              <a:schemeClr val="accent6">
                <a:alpha val="90000"/>
                <a:hueOff val="0"/>
                <a:satOff val="0"/>
                <a:lumOff val="0"/>
                <a:alphaOff val="-13333"/>
                <a:satMod val="110000"/>
                <a:lumMod val="100000"/>
                <a:shade val="100000"/>
              </a:schemeClr>
            </a:gs>
            <a:gs pos="100000">
              <a:schemeClr val="accent6">
                <a:alpha val="90000"/>
                <a:hueOff val="0"/>
                <a:satOff val="0"/>
                <a:lumOff val="0"/>
                <a:alphaOff val="-13333"/>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Waiting times and distance</a:t>
          </a:r>
        </a:p>
      </dsp:txBody>
      <dsp:txXfrm>
        <a:off x="1434676" y="1985218"/>
        <a:ext cx="598447" cy="317365"/>
      </dsp:txXfrm>
    </dsp:sp>
    <dsp:sp modelId="{E4EF787C-4FF1-429C-A022-5E507A0793EB}">
      <dsp:nvSpPr>
        <dsp:cNvPr id="0" name=""/>
        <dsp:cNvSpPr/>
      </dsp:nvSpPr>
      <dsp:spPr>
        <a:xfrm>
          <a:off x="1603741" y="2404758"/>
          <a:ext cx="260317" cy="260317"/>
        </a:xfrm>
        <a:prstGeom prst="mathPlus">
          <a:avLst/>
        </a:prstGeom>
        <a:gradFill rotWithShape="0">
          <a:gsLst>
            <a:gs pos="0">
              <a:schemeClr val="accent6">
                <a:shade val="90000"/>
                <a:hueOff val="151948"/>
                <a:satOff val="-6069"/>
                <a:lumOff val="14076"/>
                <a:alphaOff val="0"/>
                <a:satMod val="103000"/>
                <a:lumMod val="102000"/>
                <a:tint val="94000"/>
              </a:schemeClr>
            </a:gs>
            <a:gs pos="50000">
              <a:schemeClr val="accent6">
                <a:shade val="90000"/>
                <a:hueOff val="151948"/>
                <a:satOff val="-6069"/>
                <a:lumOff val="14076"/>
                <a:alphaOff val="0"/>
                <a:satMod val="110000"/>
                <a:lumMod val="100000"/>
                <a:shade val="100000"/>
              </a:schemeClr>
            </a:gs>
            <a:gs pos="100000">
              <a:schemeClr val="accent6">
                <a:shade val="90000"/>
                <a:hueOff val="151948"/>
                <a:satOff val="-6069"/>
                <a:lumOff val="1407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8246" y="2504303"/>
        <a:ext cx="191307" cy="61227"/>
      </dsp:txXfrm>
    </dsp:sp>
    <dsp:sp modelId="{062F9E87-69C1-4157-9EEA-AA26A7964827}">
      <dsp:nvSpPr>
        <dsp:cNvPr id="0" name=""/>
        <dsp:cNvSpPr/>
      </dsp:nvSpPr>
      <dsp:spPr>
        <a:xfrm>
          <a:off x="1066126" y="2701520"/>
          <a:ext cx="1335546" cy="448823"/>
        </a:xfrm>
        <a:prstGeom prst="ellipse">
          <a:avLst/>
        </a:prstGeom>
        <a:gradFill rotWithShape="0">
          <a:gsLst>
            <a:gs pos="0">
              <a:schemeClr val="accent6">
                <a:alpha val="90000"/>
                <a:hueOff val="0"/>
                <a:satOff val="0"/>
                <a:lumOff val="0"/>
                <a:alphaOff val="-20000"/>
                <a:satMod val="103000"/>
                <a:lumMod val="102000"/>
                <a:tint val="94000"/>
              </a:schemeClr>
            </a:gs>
            <a:gs pos="50000">
              <a:schemeClr val="accent6">
                <a:alpha val="90000"/>
                <a:hueOff val="0"/>
                <a:satOff val="0"/>
                <a:lumOff val="0"/>
                <a:alphaOff val="-20000"/>
                <a:satMod val="110000"/>
                <a:lumMod val="100000"/>
                <a:shade val="100000"/>
              </a:schemeClr>
            </a:gs>
            <a:gs pos="100000">
              <a:schemeClr val="accent6">
                <a:alpha val="90000"/>
                <a:hueOff val="0"/>
                <a:satOff val="0"/>
                <a:lumOff val="0"/>
                <a:alpha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Payment status</a:t>
          </a:r>
        </a:p>
      </dsp:txBody>
      <dsp:txXfrm>
        <a:off x="1261712" y="2767249"/>
        <a:ext cx="944374" cy="317365"/>
      </dsp:txXfrm>
    </dsp:sp>
    <dsp:sp modelId="{59C6BEDB-BC77-41AB-9283-2DF427503324}">
      <dsp:nvSpPr>
        <dsp:cNvPr id="0" name=""/>
        <dsp:cNvSpPr/>
      </dsp:nvSpPr>
      <dsp:spPr>
        <a:xfrm>
          <a:off x="1603741" y="3186788"/>
          <a:ext cx="260317" cy="260317"/>
        </a:xfrm>
        <a:prstGeom prst="mathPlus">
          <a:avLst/>
        </a:prstGeom>
        <a:gradFill rotWithShape="0">
          <a:gsLst>
            <a:gs pos="0">
              <a:schemeClr val="accent6">
                <a:shade val="90000"/>
                <a:hueOff val="227922"/>
                <a:satOff val="-9104"/>
                <a:lumOff val="21115"/>
                <a:alphaOff val="0"/>
                <a:satMod val="103000"/>
                <a:lumMod val="102000"/>
                <a:tint val="94000"/>
              </a:schemeClr>
            </a:gs>
            <a:gs pos="50000">
              <a:schemeClr val="accent6">
                <a:shade val="90000"/>
                <a:hueOff val="227922"/>
                <a:satOff val="-9104"/>
                <a:lumOff val="21115"/>
                <a:alphaOff val="0"/>
                <a:satMod val="110000"/>
                <a:lumMod val="100000"/>
                <a:shade val="100000"/>
              </a:schemeClr>
            </a:gs>
            <a:gs pos="100000">
              <a:schemeClr val="accent6">
                <a:shade val="90000"/>
                <a:hueOff val="227922"/>
                <a:satOff val="-9104"/>
                <a:lumOff val="2111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8246" y="3286333"/>
        <a:ext cx="191307" cy="61227"/>
      </dsp:txXfrm>
    </dsp:sp>
    <dsp:sp modelId="{1DADC64D-8872-4130-802C-6F833A7ABE4D}">
      <dsp:nvSpPr>
        <dsp:cNvPr id="0" name=""/>
        <dsp:cNvSpPr/>
      </dsp:nvSpPr>
      <dsp:spPr>
        <a:xfrm>
          <a:off x="1234915" y="3483550"/>
          <a:ext cx="997968" cy="530051"/>
        </a:xfrm>
        <a:prstGeom prst="ellipse">
          <a:avLst/>
        </a:prstGeom>
        <a:gradFill rotWithShape="0">
          <a:gsLst>
            <a:gs pos="0">
              <a:schemeClr val="accent6">
                <a:alpha val="90000"/>
                <a:hueOff val="0"/>
                <a:satOff val="0"/>
                <a:lumOff val="0"/>
                <a:alphaOff val="-26667"/>
                <a:satMod val="103000"/>
                <a:lumMod val="102000"/>
                <a:tint val="94000"/>
              </a:schemeClr>
            </a:gs>
            <a:gs pos="50000">
              <a:schemeClr val="accent6">
                <a:alpha val="90000"/>
                <a:hueOff val="0"/>
                <a:satOff val="0"/>
                <a:lumOff val="0"/>
                <a:alphaOff val="-26667"/>
                <a:satMod val="110000"/>
                <a:lumMod val="100000"/>
                <a:shade val="100000"/>
              </a:schemeClr>
            </a:gs>
            <a:gs pos="100000">
              <a:schemeClr val="accent6">
                <a:alpha val="90000"/>
                <a:hueOff val="0"/>
                <a:satOff val="0"/>
                <a:lumOff val="0"/>
                <a:alphaOff val="-26667"/>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Drug and supply availability</a:t>
          </a:r>
        </a:p>
      </dsp:txBody>
      <dsp:txXfrm>
        <a:off x="1381064" y="3561174"/>
        <a:ext cx="705670" cy="374803"/>
      </dsp:txXfrm>
    </dsp:sp>
    <dsp:sp modelId="{CB4BCE31-5B48-4716-81F7-EA972E5DFDAD}">
      <dsp:nvSpPr>
        <dsp:cNvPr id="0" name=""/>
        <dsp:cNvSpPr/>
      </dsp:nvSpPr>
      <dsp:spPr>
        <a:xfrm>
          <a:off x="1603741" y="4050047"/>
          <a:ext cx="260317" cy="260317"/>
        </a:xfrm>
        <a:prstGeom prst="mathPlus">
          <a:avLst/>
        </a:prstGeom>
        <a:gradFill rotWithShape="0">
          <a:gsLst>
            <a:gs pos="0">
              <a:schemeClr val="accent6">
                <a:shade val="90000"/>
                <a:hueOff val="303896"/>
                <a:satOff val="-12138"/>
                <a:lumOff val="28153"/>
                <a:alphaOff val="0"/>
                <a:satMod val="103000"/>
                <a:lumMod val="102000"/>
                <a:tint val="94000"/>
              </a:schemeClr>
            </a:gs>
            <a:gs pos="50000">
              <a:schemeClr val="accent6">
                <a:shade val="90000"/>
                <a:hueOff val="303896"/>
                <a:satOff val="-12138"/>
                <a:lumOff val="28153"/>
                <a:alphaOff val="0"/>
                <a:satMod val="110000"/>
                <a:lumMod val="100000"/>
                <a:shade val="100000"/>
              </a:schemeClr>
            </a:gs>
            <a:gs pos="100000">
              <a:schemeClr val="accent6">
                <a:shade val="90000"/>
                <a:hueOff val="303896"/>
                <a:satOff val="-12138"/>
                <a:lumOff val="2815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8246" y="4149592"/>
        <a:ext cx="191307" cy="61227"/>
      </dsp:txXfrm>
    </dsp:sp>
    <dsp:sp modelId="{62FB5DFD-2EF8-4C3A-A511-04025594AF21}">
      <dsp:nvSpPr>
        <dsp:cNvPr id="0" name=""/>
        <dsp:cNvSpPr/>
      </dsp:nvSpPr>
      <dsp:spPr>
        <a:xfrm>
          <a:off x="1325322" y="4346809"/>
          <a:ext cx="817155" cy="566680"/>
        </a:xfrm>
        <a:prstGeom prst="ellipse">
          <a:avLst/>
        </a:prstGeom>
        <a:gradFill rotWithShape="0">
          <a:gsLst>
            <a:gs pos="0">
              <a:schemeClr val="accent6">
                <a:alpha val="90000"/>
                <a:hueOff val="0"/>
                <a:satOff val="0"/>
                <a:lumOff val="0"/>
                <a:alphaOff val="-33333"/>
                <a:satMod val="103000"/>
                <a:lumMod val="102000"/>
                <a:tint val="94000"/>
              </a:schemeClr>
            </a:gs>
            <a:gs pos="50000">
              <a:schemeClr val="accent6">
                <a:alpha val="90000"/>
                <a:hueOff val="0"/>
                <a:satOff val="0"/>
                <a:lumOff val="0"/>
                <a:alphaOff val="-33333"/>
                <a:satMod val="110000"/>
                <a:lumMod val="100000"/>
                <a:shade val="100000"/>
              </a:schemeClr>
            </a:gs>
            <a:gs pos="100000">
              <a:schemeClr val="accent6">
                <a:alpha val="90000"/>
                <a:hueOff val="0"/>
                <a:satOff val="0"/>
                <a:lumOff val="0"/>
                <a:alphaOff val="-33333"/>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Provider-client relationship</a:t>
          </a:r>
        </a:p>
      </dsp:txBody>
      <dsp:txXfrm>
        <a:off x="1444992" y="4429797"/>
        <a:ext cx="577815" cy="400704"/>
      </dsp:txXfrm>
    </dsp:sp>
    <dsp:sp modelId="{4F831F10-A5C0-4896-A8A7-BFCBBBE6A922}">
      <dsp:nvSpPr>
        <dsp:cNvPr id="0" name=""/>
        <dsp:cNvSpPr/>
      </dsp:nvSpPr>
      <dsp:spPr>
        <a:xfrm>
          <a:off x="2654899" y="2373968"/>
          <a:ext cx="142725" cy="166962"/>
        </a:xfrm>
        <a:prstGeom prst="rightArrow">
          <a:avLst>
            <a:gd name="adj1" fmla="val 60000"/>
            <a:gd name="adj2" fmla="val 50000"/>
          </a:avLst>
        </a:prstGeom>
        <a:gradFill rotWithShape="0">
          <a:gsLst>
            <a:gs pos="0">
              <a:schemeClr val="accent6">
                <a:shade val="90000"/>
                <a:hueOff val="379870"/>
                <a:satOff val="-15173"/>
                <a:lumOff val="35191"/>
                <a:alphaOff val="0"/>
                <a:satMod val="103000"/>
                <a:lumMod val="102000"/>
                <a:tint val="94000"/>
              </a:schemeClr>
            </a:gs>
            <a:gs pos="50000">
              <a:schemeClr val="accent6">
                <a:shade val="90000"/>
                <a:hueOff val="379870"/>
                <a:satOff val="-15173"/>
                <a:lumOff val="35191"/>
                <a:alphaOff val="0"/>
                <a:satMod val="110000"/>
                <a:lumMod val="100000"/>
                <a:shade val="100000"/>
              </a:schemeClr>
            </a:gs>
            <a:gs pos="100000">
              <a:schemeClr val="accent6">
                <a:shade val="90000"/>
                <a:hueOff val="379870"/>
                <a:satOff val="-15173"/>
                <a:lumOff val="3519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654899" y="2407360"/>
        <a:ext cx="99908" cy="100178"/>
      </dsp:txXfrm>
    </dsp:sp>
    <dsp:sp modelId="{31187A07-B30F-4FC7-8FE0-9AA90E7D7F51}">
      <dsp:nvSpPr>
        <dsp:cNvPr id="0" name=""/>
        <dsp:cNvSpPr/>
      </dsp:nvSpPr>
      <dsp:spPr>
        <a:xfrm>
          <a:off x="2856870" y="1588181"/>
          <a:ext cx="2758955" cy="1738536"/>
        </a:xfrm>
        <a:prstGeom prst="ellipse">
          <a:avLst/>
        </a:prstGeom>
        <a:gradFill rotWithShape="0">
          <a:gsLst>
            <a:gs pos="0">
              <a:schemeClr val="accent6">
                <a:alpha val="90000"/>
                <a:hueOff val="0"/>
                <a:satOff val="0"/>
                <a:lumOff val="0"/>
                <a:alphaOff val="-40000"/>
                <a:satMod val="103000"/>
                <a:lumMod val="102000"/>
                <a:tint val="94000"/>
              </a:schemeClr>
            </a:gs>
            <a:gs pos="50000">
              <a:schemeClr val="accent6">
                <a:alpha val="90000"/>
                <a:hueOff val="0"/>
                <a:satOff val="0"/>
                <a:lumOff val="0"/>
                <a:alphaOff val="-40000"/>
                <a:satMod val="110000"/>
                <a:lumMod val="100000"/>
                <a:shade val="100000"/>
              </a:schemeClr>
            </a:gs>
            <a:gs pos="100000">
              <a:schemeClr val="accent6">
                <a:alpha val="90000"/>
                <a:hueOff val="0"/>
                <a:satOff val="0"/>
                <a:lumOff val="0"/>
                <a:alpha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5560" tIns="35560" rIns="35560" bIns="35560" numCol="1" spcCol="1270" anchor="ctr" anchorCtr="0">
          <a:noAutofit/>
        </a:bodyPr>
        <a:lstStyle/>
        <a:p>
          <a:pPr marL="0" lvl="0" indent="0" algn="ctr" defTabSz="1244600">
            <a:lnSpc>
              <a:spcPct val="90000"/>
            </a:lnSpc>
            <a:spcBef>
              <a:spcPct val="0"/>
            </a:spcBef>
            <a:spcAft>
              <a:spcPct val="35000"/>
            </a:spcAft>
            <a:buNone/>
          </a:pPr>
          <a:r>
            <a:rPr lang="en-US" sz="2800" b="1" kern="1200"/>
            <a:t>Patient Satisfaction</a:t>
          </a:r>
        </a:p>
      </dsp:txBody>
      <dsp:txXfrm>
        <a:off x="3260910" y="1842784"/>
        <a:ext cx="1950875" cy="1229330"/>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layout4.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189</Pages>
  <Words>61878</Words>
  <Characters>364889</Characters>
  <Application>Microsoft Office Word</Application>
  <DocSecurity>0</DocSecurity>
  <Lines>7999</Lines>
  <Paragraphs>2312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2024-12-25T13:31:00Z</dcterms:created>
  <dcterms:modified xsi:type="dcterms:W3CDTF">2024-12-25T13:31:00Z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2ec1e59e-f965-4cba-a912-3f6b0893df2c</vt:lpwstr>
  </property>
  <property fmtid="{D5CDD505-2E9C-101B-9397-08002B2CF9AE}" pid="3" name="ICV">
    <vt:lpwstr>7dd06c8cb90047609efcd38802b93c94</vt:lpwstr>
  </property>
</Properties>
</file>